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FA" w:rsidRPr="00047D89" w:rsidRDefault="00371BFA" w:rsidP="00E709DD">
      <w:pPr>
        <w:spacing w:before="120" w:after="120" w:line="360" w:lineRule="auto"/>
        <w:jc w:val="center"/>
        <w:rPr>
          <w:rFonts w:ascii="Times New Roman" w:hAnsi="Times New Roman"/>
          <w:b/>
          <w:color w:val="000000" w:themeColor="text1"/>
          <w:sz w:val="48"/>
          <w:szCs w:val="24"/>
        </w:rPr>
      </w:pPr>
    </w:p>
    <w:p w:rsidR="00371BFA" w:rsidRPr="00047D89" w:rsidRDefault="00371BFA" w:rsidP="00E709DD">
      <w:pPr>
        <w:spacing w:before="120" w:after="120" w:line="360" w:lineRule="auto"/>
        <w:jc w:val="center"/>
        <w:rPr>
          <w:rFonts w:ascii="Times New Roman" w:hAnsi="Times New Roman"/>
          <w:b/>
          <w:color w:val="000000" w:themeColor="text1"/>
          <w:sz w:val="48"/>
          <w:szCs w:val="24"/>
        </w:rPr>
      </w:pPr>
    </w:p>
    <w:p w:rsidR="00371BFA" w:rsidRPr="00047D89" w:rsidRDefault="00371BFA" w:rsidP="00E709DD">
      <w:pPr>
        <w:spacing w:before="120" w:after="120" w:line="360" w:lineRule="auto"/>
        <w:jc w:val="center"/>
        <w:rPr>
          <w:rFonts w:ascii="Times New Roman" w:hAnsi="Times New Roman"/>
          <w:b/>
          <w:color w:val="000000" w:themeColor="text1"/>
          <w:sz w:val="48"/>
          <w:szCs w:val="24"/>
        </w:rPr>
      </w:pPr>
    </w:p>
    <w:p w:rsidR="00E82EB0" w:rsidRPr="00047D89" w:rsidRDefault="00E82EB0" w:rsidP="00E709DD">
      <w:pPr>
        <w:spacing w:before="120" w:after="120" w:line="360" w:lineRule="auto"/>
        <w:jc w:val="center"/>
        <w:rPr>
          <w:rFonts w:ascii="Times New Roman" w:hAnsi="Times New Roman"/>
          <w:b/>
          <w:color w:val="000000" w:themeColor="text1"/>
          <w:sz w:val="48"/>
          <w:szCs w:val="24"/>
        </w:rPr>
      </w:pPr>
      <w:r w:rsidRPr="00047D89">
        <w:rPr>
          <w:rFonts w:ascii="Times New Roman" w:hAnsi="Times New Roman"/>
          <w:b/>
          <w:color w:val="000000" w:themeColor="text1"/>
          <w:sz w:val="48"/>
          <w:szCs w:val="24"/>
        </w:rPr>
        <w:t xml:space="preserve">Regulamentul privind </w:t>
      </w:r>
      <w:r w:rsidR="00371BFA" w:rsidRPr="00047D89">
        <w:rPr>
          <w:rFonts w:ascii="Times New Roman" w:hAnsi="Times New Roman"/>
          <w:b/>
          <w:color w:val="000000" w:themeColor="text1"/>
          <w:sz w:val="48"/>
          <w:szCs w:val="24"/>
        </w:rPr>
        <w:t>cadrul de administrare al</w:t>
      </w:r>
      <w:r w:rsidRPr="00047D89">
        <w:rPr>
          <w:rFonts w:ascii="Times New Roman" w:hAnsi="Times New Roman"/>
          <w:b/>
          <w:color w:val="000000" w:themeColor="text1"/>
          <w:sz w:val="48"/>
          <w:szCs w:val="24"/>
        </w:rPr>
        <w:t xml:space="preserve"> Organizației de Creditare Nebancară “Credit Grup VS” Societate cu Răspundere Limitată</w:t>
      </w:r>
    </w:p>
    <w:p w:rsidR="00E82EB0" w:rsidRPr="00047D89" w:rsidRDefault="00E82EB0" w:rsidP="00E709DD">
      <w:pPr>
        <w:spacing w:after="120" w:line="360" w:lineRule="auto"/>
        <w:jc w:val="both"/>
        <w:rPr>
          <w:rFonts w:ascii="Times New Roman" w:hAnsi="Times New Roman"/>
          <w:color w:val="000000" w:themeColor="text1"/>
          <w:sz w:val="24"/>
          <w:szCs w:val="24"/>
        </w:rPr>
      </w:pPr>
    </w:p>
    <w:p w:rsidR="00E82EB0" w:rsidRPr="00047D89" w:rsidRDefault="00E82EB0" w:rsidP="00E709DD">
      <w:pPr>
        <w:spacing w:after="0" w:line="360" w:lineRule="auto"/>
        <w:jc w:val="both"/>
        <w:rPr>
          <w:rFonts w:ascii="Times New Roman" w:hAnsi="Times New Roman"/>
          <w:b/>
          <w:color w:val="000000" w:themeColor="text1"/>
          <w:sz w:val="24"/>
          <w:szCs w:val="24"/>
        </w:rPr>
      </w:pPr>
    </w:p>
    <w:tbl>
      <w:tblPr>
        <w:tblpPr w:leftFromText="180" w:rightFromText="180" w:vertAnchor="text" w:horzAnchor="margin" w:tblpY="2"/>
        <w:tblW w:w="9464" w:type="dxa"/>
        <w:tblLook w:val="04A0" w:firstRow="1" w:lastRow="0" w:firstColumn="1" w:lastColumn="0" w:noHBand="0" w:noVBand="1"/>
      </w:tblPr>
      <w:tblGrid>
        <w:gridCol w:w="2687"/>
        <w:gridCol w:w="6777"/>
      </w:tblGrid>
      <w:tr w:rsidR="009344FB" w:rsidRPr="00047D89" w:rsidTr="00B93814">
        <w:trPr>
          <w:trHeight w:val="268"/>
        </w:trPr>
        <w:tc>
          <w:tcPr>
            <w:tcW w:w="2687" w:type="dxa"/>
          </w:tcPr>
          <w:p w:rsidR="00E82EB0" w:rsidRPr="00047D89" w:rsidRDefault="00E82EB0" w:rsidP="00E709DD">
            <w:pPr>
              <w:spacing w:after="100" w:line="360" w:lineRule="auto"/>
              <w:jc w:val="both"/>
              <w:rPr>
                <w:rFonts w:ascii="Times New Roman" w:hAnsi="Times New Roman"/>
                <w:b/>
                <w:color w:val="000000" w:themeColor="text1"/>
                <w:sz w:val="24"/>
                <w:szCs w:val="24"/>
              </w:rPr>
            </w:pPr>
            <w:r w:rsidRPr="00047D89">
              <w:rPr>
                <w:rFonts w:ascii="Times New Roman" w:hAnsi="Times New Roman"/>
                <w:b/>
                <w:color w:val="000000" w:themeColor="text1"/>
                <w:sz w:val="24"/>
                <w:szCs w:val="24"/>
              </w:rPr>
              <w:t>Elaborat:</w:t>
            </w:r>
          </w:p>
        </w:tc>
        <w:tc>
          <w:tcPr>
            <w:tcW w:w="6777" w:type="dxa"/>
          </w:tcPr>
          <w:p w:rsidR="00E82EB0" w:rsidRPr="00047D89" w:rsidRDefault="00E82EB0" w:rsidP="00E709DD">
            <w:pPr>
              <w:spacing w:after="100" w:line="360" w:lineRule="auto"/>
              <w:jc w:val="both"/>
              <w:rPr>
                <w:rFonts w:ascii="Times New Roman" w:hAnsi="Times New Roman"/>
                <w:color w:val="000000" w:themeColor="text1"/>
                <w:sz w:val="24"/>
                <w:szCs w:val="24"/>
              </w:rPr>
            </w:pPr>
            <w:r w:rsidRPr="00047D89">
              <w:rPr>
                <w:rFonts w:ascii="Times New Roman" w:hAnsi="Times New Roman"/>
                <w:color w:val="000000" w:themeColor="text1"/>
                <w:sz w:val="24"/>
                <w:szCs w:val="24"/>
              </w:rPr>
              <w:t>Organizația de Creditare Nebancară “Credit Grup VS” S.R.L.</w:t>
            </w:r>
          </w:p>
        </w:tc>
      </w:tr>
      <w:tr w:rsidR="009344FB" w:rsidRPr="00047D89" w:rsidTr="00B93814">
        <w:trPr>
          <w:trHeight w:val="354"/>
        </w:trPr>
        <w:tc>
          <w:tcPr>
            <w:tcW w:w="2687" w:type="dxa"/>
          </w:tcPr>
          <w:p w:rsidR="00E82EB0" w:rsidRPr="00047D89" w:rsidRDefault="00E82EB0" w:rsidP="00E709DD">
            <w:pPr>
              <w:suppressAutoHyphens/>
              <w:snapToGrid w:val="0"/>
              <w:spacing w:after="120" w:line="360" w:lineRule="auto"/>
              <w:jc w:val="both"/>
              <w:rPr>
                <w:rFonts w:ascii="Times New Roman" w:hAnsi="Times New Roman"/>
                <w:b/>
                <w:color w:val="000000" w:themeColor="text1"/>
                <w:sz w:val="24"/>
                <w:szCs w:val="24"/>
                <w:lang w:eastAsia="ar-SA"/>
              </w:rPr>
            </w:pPr>
            <w:r w:rsidRPr="00047D89">
              <w:rPr>
                <w:rFonts w:ascii="Times New Roman" w:hAnsi="Times New Roman"/>
                <w:b/>
                <w:color w:val="000000" w:themeColor="text1"/>
                <w:sz w:val="24"/>
                <w:szCs w:val="24"/>
                <w:lang w:eastAsia="ar-SA"/>
              </w:rPr>
              <w:t>Securitatea informației:</w:t>
            </w:r>
          </w:p>
        </w:tc>
        <w:tc>
          <w:tcPr>
            <w:tcW w:w="6777" w:type="dxa"/>
          </w:tcPr>
          <w:p w:rsidR="00E82EB0" w:rsidRPr="00047D89" w:rsidRDefault="00E82EB0" w:rsidP="00E709DD">
            <w:pPr>
              <w:tabs>
                <w:tab w:val="center" w:pos="4677"/>
                <w:tab w:val="right" w:pos="9355"/>
              </w:tabs>
              <w:suppressAutoHyphens/>
              <w:snapToGrid w:val="0"/>
              <w:spacing w:after="120" w:line="360" w:lineRule="auto"/>
              <w:jc w:val="both"/>
              <w:rPr>
                <w:rFonts w:ascii="Times New Roman" w:hAnsi="Times New Roman"/>
                <w:color w:val="000000" w:themeColor="text1"/>
                <w:sz w:val="24"/>
                <w:szCs w:val="24"/>
                <w:lang w:eastAsia="ar-SA"/>
              </w:rPr>
            </w:pPr>
            <w:r w:rsidRPr="00047D89">
              <w:rPr>
                <w:rFonts w:ascii="Times New Roman" w:hAnsi="Times New Roman"/>
                <w:color w:val="000000" w:themeColor="text1"/>
                <w:sz w:val="24"/>
                <w:szCs w:val="24"/>
                <w:lang w:eastAsia="ar-SA"/>
              </w:rPr>
              <w:t>Limitată, salariaților Organizației</w:t>
            </w:r>
          </w:p>
        </w:tc>
      </w:tr>
      <w:tr w:rsidR="009344FB" w:rsidRPr="00047D89" w:rsidTr="00B93814">
        <w:trPr>
          <w:trHeight w:val="354"/>
        </w:trPr>
        <w:tc>
          <w:tcPr>
            <w:tcW w:w="2687" w:type="dxa"/>
          </w:tcPr>
          <w:p w:rsidR="00E82EB0" w:rsidRPr="00047D89" w:rsidRDefault="00E82EB0" w:rsidP="00E709DD">
            <w:pPr>
              <w:suppressAutoHyphens/>
              <w:snapToGrid w:val="0"/>
              <w:spacing w:after="120" w:line="360" w:lineRule="auto"/>
              <w:jc w:val="both"/>
              <w:rPr>
                <w:rFonts w:ascii="Times New Roman" w:hAnsi="Times New Roman"/>
                <w:b/>
                <w:color w:val="000000" w:themeColor="text1"/>
                <w:sz w:val="24"/>
                <w:szCs w:val="24"/>
                <w:lang w:eastAsia="ar-SA"/>
              </w:rPr>
            </w:pPr>
            <w:r w:rsidRPr="00047D89">
              <w:rPr>
                <w:rFonts w:ascii="Times New Roman" w:hAnsi="Times New Roman"/>
                <w:b/>
                <w:color w:val="000000" w:themeColor="text1"/>
                <w:sz w:val="24"/>
                <w:szCs w:val="24"/>
                <w:lang w:eastAsia="ar-SA"/>
              </w:rPr>
              <w:t>Limba:</w:t>
            </w:r>
          </w:p>
        </w:tc>
        <w:tc>
          <w:tcPr>
            <w:tcW w:w="6777" w:type="dxa"/>
          </w:tcPr>
          <w:p w:rsidR="00E82EB0" w:rsidRPr="00047D89" w:rsidRDefault="00E82EB0" w:rsidP="00E709DD">
            <w:pPr>
              <w:tabs>
                <w:tab w:val="center" w:pos="4677"/>
                <w:tab w:val="right" w:pos="9355"/>
              </w:tabs>
              <w:suppressAutoHyphens/>
              <w:snapToGrid w:val="0"/>
              <w:spacing w:after="120" w:line="360" w:lineRule="auto"/>
              <w:jc w:val="both"/>
              <w:rPr>
                <w:rFonts w:ascii="Times New Roman" w:hAnsi="Times New Roman"/>
                <w:color w:val="000000" w:themeColor="text1"/>
                <w:sz w:val="24"/>
                <w:szCs w:val="24"/>
                <w:lang w:eastAsia="ar-SA"/>
              </w:rPr>
            </w:pPr>
            <w:r w:rsidRPr="00047D89">
              <w:rPr>
                <w:rFonts w:ascii="Times New Roman" w:hAnsi="Times New Roman"/>
                <w:color w:val="000000" w:themeColor="text1"/>
                <w:sz w:val="24"/>
                <w:szCs w:val="24"/>
                <w:lang w:eastAsia="ar-SA"/>
              </w:rPr>
              <w:t>Română</w:t>
            </w:r>
          </w:p>
        </w:tc>
      </w:tr>
      <w:tr w:rsidR="009344FB" w:rsidRPr="00047D89" w:rsidTr="00B93814">
        <w:trPr>
          <w:trHeight w:val="2576"/>
        </w:trPr>
        <w:tc>
          <w:tcPr>
            <w:tcW w:w="2687" w:type="dxa"/>
          </w:tcPr>
          <w:p w:rsidR="00E82EB0" w:rsidRPr="00047D89" w:rsidRDefault="00E82EB0" w:rsidP="00E709DD">
            <w:pPr>
              <w:suppressAutoHyphens/>
              <w:snapToGrid w:val="0"/>
              <w:spacing w:after="120" w:line="360" w:lineRule="auto"/>
              <w:jc w:val="both"/>
              <w:rPr>
                <w:rFonts w:ascii="Times New Roman" w:hAnsi="Times New Roman"/>
                <w:b/>
                <w:color w:val="000000" w:themeColor="text1"/>
                <w:sz w:val="24"/>
                <w:szCs w:val="24"/>
                <w:lang w:eastAsia="ar-SA"/>
              </w:rPr>
            </w:pPr>
            <w:r w:rsidRPr="00047D89">
              <w:rPr>
                <w:rFonts w:ascii="Times New Roman" w:hAnsi="Times New Roman"/>
                <w:b/>
                <w:color w:val="000000" w:themeColor="text1"/>
                <w:sz w:val="24"/>
                <w:szCs w:val="24"/>
                <w:lang w:eastAsia="ar-SA"/>
              </w:rPr>
              <w:t>Destinatari / Utilizatori:</w:t>
            </w:r>
          </w:p>
        </w:tc>
        <w:tc>
          <w:tcPr>
            <w:tcW w:w="6777" w:type="dxa"/>
          </w:tcPr>
          <w:p w:rsidR="00E82EB0" w:rsidRPr="00047D89" w:rsidRDefault="00115F46" w:rsidP="00E709DD">
            <w:pPr>
              <w:numPr>
                <w:ilvl w:val="0"/>
                <w:numId w:val="15"/>
              </w:numPr>
              <w:tabs>
                <w:tab w:val="left" w:pos="432"/>
                <w:tab w:val="center" w:pos="4752"/>
                <w:tab w:val="right" w:pos="9072"/>
              </w:tabs>
              <w:suppressAutoHyphens/>
              <w:snapToGrid w:val="0"/>
              <w:spacing w:before="120" w:after="0" w:line="360" w:lineRule="auto"/>
              <w:ind w:left="431" w:hanging="357"/>
              <w:jc w:val="both"/>
              <w:rPr>
                <w:rFonts w:ascii="Times New Roman" w:hAnsi="Times New Roman"/>
                <w:color w:val="000000" w:themeColor="text1"/>
                <w:sz w:val="24"/>
                <w:szCs w:val="24"/>
                <w:lang w:eastAsia="ar-SA"/>
              </w:rPr>
            </w:pPr>
            <w:r w:rsidRPr="00047D89">
              <w:rPr>
                <w:rFonts w:ascii="Times New Roman" w:hAnsi="Times New Roman"/>
                <w:color w:val="000000" w:themeColor="text1"/>
                <w:sz w:val="24"/>
                <w:szCs w:val="24"/>
                <w:lang w:eastAsia="ar-SA"/>
              </w:rPr>
              <w:t>Administrator</w:t>
            </w:r>
          </w:p>
          <w:p w:rsidR="00E82EB0" w:rsidRPr="00047D89" w:rsidRDefault="00E82EB0" w:rsidP="00E709DD">
            <w:pPr>
              <w:numPr>
                <w:ilvl w:val="0"/>
                <w:numId w:val="15"/>
              </w:numPr>
              <w:tabs>
                <w:tab w:val="left" w:pos="432"/>
                <w:tab w:val="center" w:pos="4752"/>
                <w:tab w:val="right" w:pos="9072"/>
              </w:tabs>
              <w:suppressAutoHyphens/>
              <w:spacing w:before="120" w:after="0" w:line="360" w:lineRule="auto"/>
              <w:ind w:left="431" w:hanging="357"/>
              <w:jc w:val="both"/>
              <w:rPr>
                <w:rFonts w:ascii="Times New Roman" w:hAnsi="Times New Roman"/>
                <w:color w:val="000000" w:themeColor="text1"/>
                <w:sz w:val="24"/>
                <w:szCs w:val="24"/>
                <w:lang w:eastAsia="ar-SA"/>
              </w:rPr>
            </w:pPr>
            <w:r w:rsidRPr="00047D89">
              <w:rPr>
                <w:rFonts w:ascii="Times New Roman" w:hAnsi="Times New Roman"/>
                <w:color w:val="000000" w:themeColor="text1"/>
                <w:sz w:val="24"/>
                <w:szCs w:val="24"/>
                <w:lang w:eastAsia="ar-SA"/>
              </w:rPr>
              <w:t>Specialiștii Analize credite</w:t>
            </w:r>
          </w:p>
          <w:p w:rsidR="00E82EB0" w:rsidRPr="00047D89" w:rsidRDefault="00E82EB0" w:rsidP="00E709DD">
            <w:pPr>
              <w:tabs>
                <w:tab w:val="left" w:pos="432"/>
                <w:tab w:val="center" w:pos="4752"/>
                <w:tab w:val="right" w:pos="9072"/>
              </w:tabs>
              <w:suppressAutoHyphens/>
              <w:spacing w:before="120" w:after="0" w:line="360" w:lineRule="auto"/>
              <w:ind w:left="431"/>
              <w:jc w:val="both"/>
              <w:rPr>
                <w:rFonts w:ascii="Times New Roman" w:hAnsi="Times New Roman"/>
                <w:color w:val="000000" w:themeColor="text1"/>
                <w:sz w:val="24"/>
                <w:szCs w:val="24"/>
                <w:lang w:eastAsia="ar-SA"/>
              </w:rPr>
            </w:pPr>
          </w:p>
          <w:p w:rsidR="000D2253" w:rsidRPr="00047D89" w:rsidRDefault="000D2253" w:rsidP="00E709DD">
            <w:pPr>
              <w:tabs>
                <w:tab w:val="left" w:pos="432"/>
                <w:tab w:val="center" w:pos="4752"/>
                <w:tab w:val="right" w:pos="9072"/>
              </w:tabs>
              <w:suppressAutoHyphens/>
              <w:spacing w:before="120" w:after="0" w:line="360" w:lineRule="auto"/>
              <w:ind w:left="431"/>
              <w:jc w:val="both"/>
              <w:rPr>
                <w:rFonts w:ascii="Times New Roman" w:hAnsi="Times New Roman"/>
                <w:color w:val="000000" w:themeColor="text1"/>
                <w:sz w:val="24"/>
                <w:szCs w:val="24"/>
                <w:lang w:eastAsia="ar-SA"/>
              </w:rPr>
            </w:pPr>
          </w:p>
          <w:p w:rsidR="000D2253" w:rsidRPr="00047D89" w:rsidRDefault="000D2253" w:rsidP="00E709DD">
            <w:pPr>
              <w:tabs>
                <w:tab w:val="left" w:pos="432"/>
                <w:tab w:val="center" w:pos="4752"/>
                <w:tab w:val="right" w:pos="9072"/>
              </w:tabs>
              <w:suppressAutoHyphens/>
              <w:spacing w:before="120" w:after="0" w:line="360" w:lineRule="auto"/>
              <w:ind w:left="431"/>
              <w:jc w:val="both"/>
              <w:rPr>
                <w:rFonts w:ascii="Times New Roman" w:hAnsi="Times New Roman"/>
                <w:color w:val="000000" w:themeColor="text1"/>
                <w:sz w:val="24"/>
                <w:szCs w:val="24"/>
                <w:lang w:eastAsia="ar-SA"/>
              </w:rPr>
            </w:pPr>
          </w:p>
          <w:p w:rsidR="000D2253" w:rsidRPr="00047D89" w:rsidRDefault="000D2253" w:rsidP="00E709DD">
            <w:pPr>
              <w:tabs>
                <w:tab w:val="left" w:pos="432"/>
                <w:tab w:val="center" w:pos="4752"/>
                <w:tab w:val="right" w:pos="9072"/>
              </w:tabs>
              <w:suppressAutoHyphens/>
              <w:spacing w:before="120" w:after="0" w:line="360" w:lineRule="auto"/>
              <w:ind w:left="431"/>
              <w:jc w:val="both"/>
              <w:rPr>
                <w:rFonts w:ascii="Times New Roman" w:hAnsi="Times New Roman"/>
                <w:color w:val="000000" w:themeColor="text1"/>
                <w:sz w:val="24"/>
                <w:szCs w:val="24"/>
                <w:lang w:eastAsia="ar-SA"/>
              </w:rPr>
            </w:pPr>
          </w:p>
        </w:tc>
      </w:tr>
    </w:tbl>
    <w:p w:rsidR="000D2253" w:rsidRPr="00047D89" w:rsidRDefault="000D2253" w:rsidP="005C1528">
      <w:pPr>
        <w:spacing w:before="120" w:after="120" w:line="360" w:lineRule="auto"/>
        <w:jc w:val="center"/>
        <w:rPr>
          <w:rFonts w:ascii="Times New Roman" w:hAnsi="Times New Roman"/>
          <w:b/>
          <w:color w:val="000000" w:themeColor="text1"/>
          <w:sz w:val="24"/>
          <w:szCs w:val="24"/>
        </w:rPr>
      </w:pPr>
    </w:p>
    <w:p w:rsidR="005C1528" w:rsidRPr="00047D89" w:rsidRDefault="002F5DA5" w:rsidP="005C1528">
      <w:pPr>
        <w:spacing w:before="120" w:after="120" w:line="360" w:lineRule="auto"/>
        <w:jc w:val="center"/>
        <w:rPr>
          <w:rFonts w:ascii="Times New Roman" w:hAnsi="Times New Roman"/>
          <w:b/>
          <w:color w:val="000000" w:themeColor="text1"/>
          <w:sz w:val="24"/>
          <w:szCs w:val="24"/>
        </w:rPr>
      </w:pPr>
      <w:r w:rsidRPr="00047D89">
        <w:rPr>
          <w:rFonts w:ascii="Times New Roman" w:hAnsi="Times New Roman"/>
          <w:b/>
          <w:color w:val="000000" w:themeColor="text1"/>
          <w:sz w:val="24"/>
          <w:szCs w:val="24"/>
        </w:rPr>
        <w:t>Chișinău 2021</w:t>
      </w:r>
    </w:p>
    <w:p w:rsidR="005C1528" w:rsidRPr="00047D89" w:rsidRDefault="00A23BAC" w:rsidP="005C1528">
      <w:pPr>
        <w:spacing w:before="120" w:after="120" w:line="360" w:lineRule="auto"/>
        <w:jc w:val="center"/>
        <w:rPr>
          <w:rFonts w:ascii="Times New Roman" w:hAnsi="Times New Roman"/>
          <w:b/>
          <w:color w:val="000000" w:themeColor="text1"/>
          <w:sz w:val="24"/>
          <w:szCs w:val="24"/>
        </w:rPr>
      </w:pPr>
      <w:r w:rsidRPr="00047D89">
        <w:rPr>
          <w:rFonts w:ascii="Times New Roman" w:eastAsia="Times New Roman" w:hAnsi="Times New Roman" w:cs="Times New Roman"/>
          <w:b/>
          <w:bCs/>
          <w:color w:val="000000" w:themeColor="text1"/>
          <w:sz w:val="24"/>
          <w:szCs w:val="24"/>
        </w:rPr>
        <w:lastRenderedPageBreak/>
        <w:t>Capitolul I</w:t>
      </w:r>
      <w:r w:rsidR="004E61A0" w:rsidRPr="00047D89">
        <w:rPr>
          <w:rFonts w:ascii="Times New Roman" w:eastAsia="Times New Roman" w:hAnsi="Times New Roman" w:cs="Times New Roman"/>
          <w:b/>
          <w:bCs/>
          <w:color w:val="000000" w:themeColor="text1"/>
          <w:sz w:val="24"/>
          <w:szCs w:val="24"/>
        </w:rPr>
        <w:t>. Dispoziții generale</w:t>
      </w:r>
    </w:p>
    <w:p w:rsidR="00274FBE"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r>
      <w:r w:rsidR="0033264C" w:rsidRPr="00047D89">
        <w:rPr>
          <w:rFonts w:ascii="Times New Roman" w:hAnsi="Times New Roman" w:cs="Times New Roman"/>
          <w:b/>
          <w:color w:val="000000" w:themeColor="text1"/>
          <w:sz w:val="24"/>
          <w:szCs w:val="24"/>
        </w:rPr>
        <w:t xml:space="preserve">1.1. </w:t>
      </w:r>
      <w:r w:rsidRPr="00047D89">
        <w:rPr>
          <w:rFonts w:ascii="Times New Roman" w:hAnsi="Times New Roman" w:cs="Times New Roman"/>
          <w:color w:val="000000" w:themeColor="text1"/>
          <w:sz w:val="24"/>
          <w:szCs w:val="24"/>
        </w:rPr>
        <w:t>Prezentul Regulament este elaborat în temeiul Legii nr. 1 din 16.03.2018 cu privire la organizațiile de creditare nebancară, precum şi în conformitate cu prevederile: - legislaţiei în vigoare a Republicii Moldova, inclusiv actelor normative ale Comisiei Naționale a Pieței Financiare; - Statutului O.C.N. "Credit Grup VS" S.R.L.; - Politicilor O.C.N. " Credit Grup VS " S.R.L.; - altor reglementări interne ale O.C.N. " Credit Grup VS " S.R.L.</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t xml:space="preserve">1.2. </w:t>
      </w:r>
      <w:r w:rsidRPr="00047D89">
        <w:rPr>
          <w:rFonts w:ascii="Times New Roman" w:hAnsi="Times New Roman" w:cs="Times New Roman"/>
          <w:color w:val="000000" w:themeColor="text1"/>
          <w:sz w:val="24"/>
          <w:szCs w:val="24"/>
        </w:rPr>
        <w:t>Scopul prezentului Regulament este stabilirea principiilor fundamentale de administrare și de control intern în cadrul O.C.N. " Credit Grup VS " S.R.L. (în continuare ”Companie”), a metodelor de colaborare, atribuțiile și responsabilitățile organelor de conducere ale Companiei, delimitarea atribuțiilor acestora prin maximizarea profitului din activitatea de creditare nebancară, în condiții de asigurare a protecției maxime a Companiei împotriva eventualelor pierderi, printr-o administrarea sigură și prudentă a riscurilor afacerii în care este implicată Compania.</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t>1.3.</w:t>
      </w:r>
      <w:r w:rsidRPr="00047D89">
        <w:rPr>
          <w:rFonts w:ascii="Times New Roman" w:hAnsi="Times New Roman" w:cs="Times New Roman"/>
          <w:color w:val="000000" w:themeColor="text1"/>
          <w:sz w:val="24"/>
          <w:szCs w:val="24"/>
        </w:rPr>
        <w:t xml:space="preserve"> Prin cadru de administrare se înțelege administrarea integrală a activităţii Companiei, exercitată de Adunarea Generală a Asociaților (în continuare – AGA), Consiliul, </w:t>
      </w:r>
      <w:r w:rsidR="00047D89" w:rsidRPr="00047D89">
        <w:rPr>
          <w:rFonts w:ascii="Times New Roman" w:hAnsi="Times New Roman" w:cs="Times New Roman"/>
          <w:color w:val="000000" w:themeColor="text1"/>
          <w:sz w:val="24"/>
          <w:szCs w:val="24"/>
        </w:rPr>
        <w:t>incluzând</w:t>
      </w:r>
      <w:r w:rsidRPr="00047D89">
        <w:rPr>
          <w:rFonts w:ascii="Times New Roman" w:hAnsi="Times New Roman" w:cs="Times New Roman"/>
          <w:color w:val="000000" w:themeColor="text1"/>
          <w:sz w:val="24"/>
          <w:szCs w:val="24"/>
        </w:rPr>
        <w:t xml:space="preserve"> totalitatea raporturilor acestora cu organul executiv şi altor persoane interesate (angajaţii, creditorii, clienţii, partenerii, organele statale de reglementare şi supraveghere, alte organe publice centrale și locale de administrare) în partea ce ţine de:</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determinarea unui sistem efectiv de administrare a Companiei în implementarea scopurilor și obiectivelor sale strategice; </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efectuarea de către organele de conducere și personalul Companiei, cu o periodicitate zilnică, a tuturor acțiunilor necesare pentru atingerea obiectivelor strategice a Companiei; </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stabilirea unor standarde unice și transparente de administrare a activității Companiei prin competențe clare și bine delimitate ale organelor de conducere și celor cu putere decizională din cadrul Companiei; </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protejarea drepturilor și intereselor legale ale clienților, în special în relațiile Companiei cu consumatorii; </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menținerea unui echilibru între interesele asociaților Companiei, organelor sale de conducere și persoanele interesate (angajați, clienți și parteneri); </w:t>
      </w:r>
    </w:p>
    <w:p w:rsidR="004E61A0"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asigurarea continuității activității Companiei prin intermediul unei administrări responsabile, prudente și stabile; </w:t>
      </w:r>
    </w:p>
    <w:p w:rsidR="00A23BAC" w:rsidRPr="00047D89" w:rsidRDefault="004E61A0"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A23BAC" w:rsidRPr="00047D89">
        <w:rPr>
          <w:rFonts w:ascii="Times New Roman" w:hAnsi="Times New Roman" w:cs="Times New Roman"/>
          <w:color w:val="000000" w:themeColor="text1"/>
          <w:sz w:val="24"/>
          <w:szCs w:val="24"/>
        </w:rPr>
        <w:t>• organizarea și asigurarea funcționalității în cadrul Companiei a funcțiilor de control intern.</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 xml:space="preserve">1.4. </w:t>
      </w:r>
      <w:r w:rsidRPr="00047D89">
        <w:rPr>
          <w:rFonts w:ascii="Times New Roman" w:hAnsi="Times New Roman" w:cs="Times New Roman"/>
          <w:color w:val="000000" w:themeColor="text1"/>
          <w:sz w:val="24"/>
          <w:szCs w:val="24"/>
        </w:rPr>
        <w:t>Compania dispune de un cadrul de reglementare intern și acesta include:</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lastRenderedPageBreak/>
        <w:tab/>
      </w:r>
      <w:r w:rsidRPr="00047D89">
        <w:rPr>
          <w:rFonts w:ascii="Times New Roman" w:hAnsi="Times New Roman" w:cs="Times New Roman"/>
          <w:b/>
          <w:color w:val="000000" w:themeColor="text1"/>
          <w:sz w:val="24"/>
          <w:szCs w:val="24"/>
        </w:rPr>
        <w:t xml:space="preserve">• Politici </w:t>
      </w:r>
      <w:r w:rsidRPr="00047D89">
        <w:rPr>
          <w:rFonts w:ascii="Times New Roman" w:hAnsi="Times New Roman" w:cs="Times New Roman"/>
          <w:color w:val="000000" w:themeColor="text1"/>
          <w:sz w:val="24"/>
          <w:szCs w:val="24"/>
        </w:rPr>
        <w:t xml:space="preserve">– ansamblul principiilor, instrumentelor, metodelor și pârghiilor necesare de urmat în realizarea unei administrări performante și responsabile în cadrul Companiei pentru aducerea la îndeplinire a Strategiei. </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 Regulamente</w:t>
      </w:r>
      <w:r w:rsidRPr="00047D89">
        <w:rPr>
          <w:rFonts w:ascii="Times New Roman" w:hAnsi="Times New Roman" w:cs="Times New Roman"/>
          <w:color w:val="000000" w:themeColor="text1"/>
          <w:sz w:val="24"/>
          <w:szCs w:val="24"/>
        </w:rPr>
        <w:t xml:space="preserve"> – totalitatea reglementărilor interne care stabilesc reguli generale pentru un anumit domeniu de activitate a Companie și care </w:t>
      </w:r>
      <w:r w:rsidR="00047D89" w:rsidRPr="00047D89">
        <w:rPr>
          <w:rFonts w:ascii="Times New Roman" w:hAnsi="Times New Roman" w:cs="Times New Roman"/>
          <w:color w:val="000000" w:themeColor="text1"/>
          <w:sz w:val="24"/>
          <w:szCs w:val="24"/>
        </w:rPr>
        <w:t>sunt</w:t>
      </w:r>
      <w:r w:rsidRPr="00047D89">
        <w:rPr>
          <w:rFonts w:ascii="Times New Roman" w:hAnsi="Times New Roman" w:cs="Times New Roman"/>
          <w:color w:val="000000" w:themeColor="text1"/>
          <w:sz w:val="24"/>
          <w:szCs w:val="24"/>
        </w:rPr>
        <w:t xml:space="preserve"> sau pot fi detaliate prin proceduri separate pentru diverse linii de activitate în care este implicată Compania. </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 Proceduri/Instrucțiuni/Manuale/Ghiduri</w:t>
      </w:r>
      <w:r w:rsidRPr="00047D89">
        <w:rPr>
          <w:rFonts w:ascii="Times New Roman" w:hAnsi="Times New Roman" w:cs="Times New Roman"/>
          <w:color w:val="000000" w:themeColor="text1"/>
          <w:sz w:val="24"/>
          <w:szCs w:val="24"/>
        </w:rPr>
        <w:t xml:space="preserve"> – ansamblul de reguli speciale care descrie detaliat o activitate din cadrul Companiei de prestare a unui serviciu sau de acordare a unui produs financiar, precum și responsabilitățile entităților interne/personalului în realizarea acestor activități sau operațiuni.</w:t>
      </w:r>
    </w:p>
    <w:p w:rsidR="00EF23AE" w:rsidRPr="00047D89" w:rsidRDefault="00A23BAC" w:rsidP="00A23BAC">
      <w:pPr>
        <w:spacing w:before="120" w:after="120" w:line="360" w:lineRule="auto"/>
        <w:jc w:val="center"/>
        <w:rPr>
          <w:rFonts w:ascii="Times New Roman" w:eastAsia="Times New Roman" w:hAnsi="Times New Roman" w:cs="Times New Roman"/>
          <w:b/>
          <w:bCs/>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eastAsia="Times New Roman" w:hAnsi="Times New Roman" w:cs="Times New Roman"/>
          <w:b/>
          <w:bCs/>
          <w:color w:val="000000" w:themeColor="text1"/>
          <w:sz w:val="24"/>
          <w:szCs w:val="24"/>
        </w:rPr>
        <w:t>Capitolul II</w:t>
      </w:r>
      <w:r w:rsidR="00EF23AE" w:rsidRPr="00047D89">
        <w:rPr>
          <w:rFonts w:ascii="Times New Roman" w:eastAsia="Times New Roman" w:hAnsi="Times New Roman" w:cs="Times New Roman"/>
          <w:b/>
          <w:bCs/>
          <w:color w:val="000000" w:themeColor="text1"/>
          <w:sz w:val="24"/>
          <w:szCs w:val="24"/>
        </w:rPr>
        <w:t>. Organele de conducere</w:t>
      </w:r>
    </w:p>
    <w:p w:rsidR="00A23BAC" w:rsidRPr="00047D89" w:rsidRDefault="00A23BAC"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EF23AE" w:rsidRPr="00047D89">
        <w:rPr>
          <w:rFonts w:ascii="Times New Roman" w:hAnsi="Times New Roman" w:cs="Times New Roman"/>
          <w:b/>
          <w:color w:val="000000" w:themeColor="text1"/>
          <w:sz w:val="24"/>
          <w:szCs w:val="24"/>
        </w:rPr>
        <w:t xml:space="preserve">2.1. </w:t>
      </w:r>
      <w:r w:rsidR="00EF23AE" w:rsidRPr="00047D89">
        <w:rPr>
          <w:rFonts w:ascii="Times New Roman" w:hAnsi="Times New Roman" w:cs="Times New Roman"/>
          <w:color w:val="000000" w:themeColor="text1"/>
          <w:sz w:val="24"/>
          <w:szCs w:val="24"/>
        </w:rPr>
        <w:t>Competențele organelor de conducere și control ale Companiei, definite prin prezentul compartiment, sunt stabilite în conformitate cu prevederile Legii nr. 135-XVI din 14.06.2007 privind societăţile cu răspundere limitată, precum și cu Statutul și Politicile Companiei.</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2.2.</w:t>
      </w:r>
      <w:r w:rsidRPr="00047D89">
        <w:rPr>
          <w:rFonts w:ascii="Times New Roman" w:hAnsi="Times New Roman" w:cs="Times New Roman"/>
          <w:color w:val="000000" w:themeColor="text1"/>
          <w:sz w:val="24"/>
          <w:szCs w:val="24"/>
        </w:rPr>
        <w:t xml:space="preserve"> </w:t>
      </w:r>
      <w:r w:rsidRPr="00047D89">
        <w:rPr>
          <w:rFonts w:ascii="Times New Roman" w:hAnsi="Times New Roman" w:cs="Times New Roman"/>
          <w:b/>
          <w:color w:val="000000" w:themeColor="text1"/>
          <w:sz w:val="24"/>
          <w:szCs w:val="24"/>
        </w:rPr>
        <w:t>Organele de conducere ale companiei sunt A</w:t>
      </w:r>
      <w:r w:rsidR="00AD4020" w:rsidRPr="00047D89">
        <w:rPr>
          <w:rFonts w:ascii="Times New Roman" w:hAnsi="Times New Roman" w:cs="Times New Roman"/>
          <w:b/>
          <w:color w:val="000000" w:themeColor="text1"/>
          <w:sz w:val="24"/>
          <w:szCs w:val="24"/>
        </w:rPr>
        <w:t>dunarea Generală a Asociaților</w:t>
      </w:r>
      <w:r w:rsidR="000F6D2A" w:rsidRPr="00047D89">
        <w:rPr>
          <w:rFonts w:ascii="Times New Roman" w:hAnsi="Times New Roman" w:cs="Times New Roman"/>
          <w:b/>
          <w:color w:val="000000" w:themeColor="text1"/>
          <w:sz w:val="24"/>
          <w:szCs w:val="24"/>
        </w:rPr>
        <w:t xml:space="preserve"> (în continuare – „AGA”)</w:t>
      </w:r>
      <w:r w:rsidRPr="00047D89">
        <w:rPr>
          <w:rFonts w:ascii="Times New Roman" w:hAnsi="Times New Roman" w:cs="Times New Roman"/>
          <w:b/>
          <w:color w:val="000000" w:themeColor="text1"/>
          <w:sz w:val="24"/>
          <w:szCs w:val="24"/>
        </w:rPr>
        <w:t xml:space="preserve"> și Administratorul companiei.</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 xml:space="preserve">2.3. </w:t>
      </w:r>
      <w:r w:rsidRPr="00047D89">
        <w:rPr>
          <w:rFonts w:ascii="Times New Roman" w:hAnsi="Times New Roman" w:cs="Times New Roman"/>
          <w:color w:val="000000" w:themeColor="text1"/>
          <w:sz w:val="24"/>
          <w:szCs w:val="24"/>
        </w:rPr>
        <w:t>Adunarea Generală a Asociaților este organul suprem de conducere al Companiei</w:t>
      </w:r>
      <w:r w:rsidR="00984482" w:rsidRPr="00047D89">
        <w:rPr>
          <w:rFonts w:ascii="Times New Roman" w:hAnsi="Times New Roman" w:cs="Times New Roman"/>
          <w:color w:val="000000" w:themeColor="text1"/>
          <w:sz w:val="24"/>
          <w:szCs w:val="24"/>
        </w:rPr>
        <w:t>.</w:t>
      </w:r>
    </w:p>
    <w:p w:rsidR="00F6169A" w:rsidRPr="00047D89" w:rsidRDefault="00984482"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2.3.1.</w:t>
      </w:r>
      <w:r w:rsidRPr="00047D89">
        <w:rPr>
          <w:rFonts w:ascii="Times New Roman" w:hAnsi="Times New Roman" w:cs="Times New Roman"/>
          <w:color w:val="000000" w:themeColor="text1"/>
          <w:sz w:val="24"/>
          <w:szCs w:val="24"/>
        </w:rPr>
        <w:t xml:space="preserve"> </w:t>
      </w:r>
      <w:r w:rsidR="00F6169A" w:rsidRPr="00047D89">
        <w:rPr>
          <w:rFonts w:ascii="Times New Roman" w:hAnsi="Times New Roman" w:cs="Times New Roman"/>
          <w:b/>
          <w:color w:val="000000" w:themeColor="text1"/>
          <w:sz w:val="24"/>
          <w:szCs w:val="24"/>
        </w:rPr>
        <w:t>(1) De competenţa exclusivă a adunării generale a asociaţilor ţin:</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a) modificarea şi completarea actului de constituire, inclusiv adoptarea lui într-o nouă redacţie;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b) modificarea cuantumului capitalului social;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c) desemnarea membrilor consiliului societăţii şi a cenzorului, eliberarea înainte de termen a acestora;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d) urmărirea pe cale judiciară a membrilor consiliului societăţii şi a cenzorului pentru prejudiciile cauzate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e) aprobarea Regulamentului consiliului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f) aprobarea dărilor de seamă ale consiliului societăţii, a rapoartelor cenzorului sau a avizelor auditorului independent;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g) aprobarea bilanţului contabil anual;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0F6D2A" w:rsidRPr="00047D89">
        <w:rPr>
          <w:rFonts w:ascii="Times New Roman" w:hAnsi="Times New Roman" w:cs="Times New Roman"/>
          <w:color w:val="000000" w:themeColor="text1"/>
          <w:sz w:val="24"/>
          <w:szCs w:val="24"/>
        </w:rPr>
        <w:t>h) adoptarea hotărâ</w:t>
      </w:r>
      <w:r w:rsidRPr="00047D89">
        <w:rPr>
          <w:rFonts w:ascii="Times New Roman" w:hAnsi="Times New Roman" w:cs="Times New Roman"/>
          <w:color w:val="000000" w:themeColor="text1"/>
          <w:sz w:val="24"/>
          <w:szCs w:val="24"/>
        </w:rPr>
        <w:t xml:space="preserve">rii privind repartizarea între asociaţi a profitului net;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0F6D2A" w:rsidRPr="00047D89">
        <w:rPr>
          <w:rFonts w:ascii="Times New Roman" w:hAnsi="Times New Roman" w:cs="Times New Roman"/>
          <w:color w:val="000000" w:themeColor="text1"/>
          <w:sz w:val="24"/>
          <w:szCs w:val="24"/>
        </w:rPr>
        <w:t>i) adoptarea hotărâ</w:t>
      </w:r>
      <w:r w:rsidRPr="00047D89">
        <w:rPr>
          <w:rFonts w:ascii="Times New Roman" w:hAnsi="Times New Roman" w:cs="Times New Roman"/>
          <w:color w:val="000000" w:themeColor="text1"/>
          <w:sz w:val="24"/>
          <w:szCs w:val="24"/>
        </w:rPr>
        <w:t xml:space="preserve">rii privind reorganizarea societăţii şi aprobarea planului de reorganizare;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lastRenderedPageBreak/>
        <w:tab/>
      </w:r>
      <w:r w:rsidR="000F6D2A" w:rsidRPr="00047D89">
        <w:rPr>
          <w:rFonts w:ascii="Times New Roman" w:hAnsi="Times New Roman" w:cs="Times New Roman"/>
          <w:color w:val="000000" w:themeColor="text1"/>
          <w:sz w:val="24"/>
          <w:szCs w:val="24"/>
        </w:rPr>
        <w:t>j) adoptarea hotărâ</w:t>
      </w:r>
      <w:r w:rsidRPr="00047D89">
        <w:rPr>
          <w:rFonts w:ascii="Times New Roman" w:hAnsi="Times New Roman" w:cs="Times New Roman"/>
          <w:color w:val="000000" w:themeColor="text1"/>
          <w:sz w:val="24"/>
          <w:szCs w:val="24"/>
        </w:rPr>
        <w:t xml:space="preserve">rii de lichidare a societăţii, numirea lichidatorului şi aprobarea bilanţului de lichidare;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k) aprobarea mărimii şi modului de formare a fondurilor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l) aprobarea mărimii şi a modului de achitare a remuneraţiei membrilor consiliului societăţii şi cenzorului;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m) aprobarea încheierii contractelor prin care societatea transmite proprietatea sau cedează, cu titlu gratuit, drepturi unor terţi, inclusiv asociaţilor;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n) înfiinţarea sucursalelor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o) aprobarea fondării altor persoane juridice;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p) aprobarea participării în calitate de cofondator al altor persoane juridice.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(2) Dacă actul de constituire nu prevede altfel, de competenţa adunării generale a asociaţilor ţin: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a) desemnarea şi eliberarea înainte de termen a administratorului;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b) aprobarea dării de seamă anuale şi evaluarea activităţii administratorului;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c) urmărirea pe cale judiciară a administratorului pentru prejudiciile cauzate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d) aprobarea mărimii şi modului de achitare a remuneraţiei administratorului;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e) aprobarea planului de afaceri al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f) aprobarea regulamentelor interne ale societăţii;  </w:t>
      </w:r>
    </w:p>
    <w:p w:rsidR="00F6169A"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f</w:t>
      </w:r>
      <w:r w:rsidRPr="00047D89">
        <w:rPr>
          <w:rFonts w:ascii="Times New Roman" w:hAnsi="Times New Roman" w:cs="Times New Roman"/>
          <w:color w:val="000000" w:themeColor="text1"/>
          <w:sz w:val="24"/>
          <w:szCs w:val="24"/>
          <w:vertAlign w:val="superscript"/>
        </w:rPr>
        <w:t>1</w:t>
      </w:r>
      <w:r w:rsidRPr="00047D89">
        <w:rPr>
          <w:rFonts w:ascii="Times New Roman" w:hAnsi="Times New Roman" w:cs="Times New Roman"/>
          <w:color w:val="000000" w:themeColor="text1"/>
          <w:sz w:val="24"/>
          <w:szCs w:val="24"/>
        </w:rPr>
        <w:t xml:space="preserve">) aprobarea încheierii actelor juridice și altor operațiuni dintre administrator sau o persoană afiliată administratorului, pe de o parte, și societate, pe de altă parte; </w:t>
      </w:r>
    </w:p>
    <w:p w:rsidR="00984482" w:rsidRPr="00047D89" w:rsidRDefault="00F6169A"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0F6D2A" w:rsidRPr="00047D89">
        <w:rPr>
          <w:rFonts w:ascii="Times New Roman" w:hAnsi="Times New Roman" w:cs="Times New Roman"/>
          <w:color w:val="000000" w:themeColor="text1"/>
          <w:sz w:val="24"/>
          <w:szCs w:val="24"/>
        </w:rPr>
        <w:t>g) adoptarea altor hotărâ</w:t>
      </w:r>
      <w:r w:rsidRPr="00047D89">
        <w:rPr>
          <w:rFonts w:ascii="Times New Roman" w:hAnsi="Times New Roman" w:cs="Times New Roman"/>
          <w:color w:val="000000" w:themeColor="text1"/>
          <w:sz w:val="24"/>
          <w:szCs w:val="24"/>
        </w:rPr>
        <w:t>ri atribuite de lege sau de actul de constituire în competenţa adunării generale a asociaţilor.</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984482" w:rsidRPr="00047D89">
        <w:rPr>
          <w:rFonts w:ascii="Times New Roman" w:hAnsi="Times New Roman" w:cs="Times New Roman"/>
          <w:b/>
          <w:color w:val="000000" w:themeColor="text1"/>
          <w:sz w:val="24"/>
          <w:szCs w:val="24"/>
        </w:rPr>
        <w:t>2.3.2</w:t>
      </w:r>
      <w:r w:rsidRPr="00047D89">
        <w:rPr>
          <w:rFonts w:ascii="Times New Roman" w:hAnsi="Times New Roman" w:cs="Times New Roman"/>
          <w:b/>
          <w:color w:val="000000" w:themeColor="text1"/>
          <w:sz w:val="24"/>
          <w:szCs w:val="24"/>
        </w:rPr>
        <w:t xml:space="preserve">. </w:t>
      </w:r>
      <w:r w:rsidRPr="00047D89">
        <w:rPr>
          <w:rFonts w:ascii="Times New Roman" w:hAnsi="Times New Roman" w:cs="Times New Roman"/>
          <w:color w:val="000000" w:themeColor="text1"/>
          <w:sz w:val="24"/>
          <w:szCs w:val="24"/>
        </w:rPr>
        <w:t>Asociaţii pot fi convocaţi în adunări generale ordinare şi extraordinare. Adunările ordinare ale asociaților se convoacă cel puțin o dată pe an, ia</w:t>
      </w:r>
      <w:r w:rsidR="001B4D8B" w:rsidRPr="00047D89">
        <w:rPr>
          <w:rFonts w:ascii="Times New Roman" w:hAnsi="Times New Roman" w:cs="Times New Roman"/>
          <w:color w:val="000000" w:themeColor="text1"/>
          <w:sz w:val="24"/>
          <w:szCs w:val="24"/>
        </w:rPr>
        <w:t>r cele extraordinare - ori de câ</w:t>
      </w:r>
      <w:r w:rsidRPr="00047D89">
        <w:rPr>
          <w:rFonts w:ascii="Times New Roman" w:hAnsi="Times New Roman" w:cs="Times New Roman"/>
          <w:color w:val="000000" w:themeColor="text1"/>
          <w:sz w:val="24"/>
          <w:szCs w:val="24"/>
        </w:rPr>
        <w:t>te ori este necesar, cu respectarea cerințelor statutare de convocare prevăzute în Statutul Companiei.</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984482" w:rsidRPr="00047D89">
        <w:rPr>
          <w:rFonts w:ascii="Times New Roman" w:hAnsi="Times New Roman" w:cs="Times New Roman"/>
          <w:b/>
          <w:color w:val="000000" w:themeColor="text1"/>
          <w:sz w:val="24"/>
          <w:szCs w:val="24"/>
        </w:rPr>
        <w:t>2.3.3</w:t>
      </w:r>
      <w:r w:rsidRPr="00047D89">
        <w:rPr>
          <w:rFonts w:ascii="Times New Roman" w:hAnsi="Times New Roman" w:cs="Times New Roman"/>
          <w:b/>
          <w:color w:val="000000" w:themeColor="text1"/>
          <w:sz w:val="24"/>
          <w:szCs w:val="24"/>
        </w:rPr>
        <w:t>.</w:t>
      </w:r>
      <w:r w:rsidRPr="00047D89">
        <w:rPr>
          <w:rFonts w:ascii="Times New Roman" w:hAnsi="Times New Roman" w:cs="Times New Roman"/>
          <w:color w:val="000000" w:themeColor="text1"/>
          <w:sz w:val="24"/>
          <w:szCs w:val="24"/>
        </w:rPr>
        <w:t xml:space="preserve"> Competența AGA, ordinea convocării acesteia, forma şi termenii desfășurării, întocmirea ordinii de zi, stabilirea cvorumului pentru diferite subiecte de pe ordinea de zi, modalitatea votării, adoptarea deciziilor şi numărarea voturilor, perfectarea proceselor verbale, precum şi alte întrebări ce ţin de desfășurarea AGA a Companiei este reglementată de legislația în vigoare și Statutul Companiei.</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lastRenderedPageBreak/>
        <w:tab/>
      </w:r>
      <w:r w:rsidRPr="00047D89">
        <w:rPr>
          <w:rFonts w:ascii="Times New Roman" w:hAnsi="Times New Roman" w:cs="Times New Roman"/>
          <w:b/>
          <w:color w:val="000000" w:themeColor="text1"/>
          <w:sz w:val="24"/>
          <w:szCs w:val="24"/>
        </w:rPr>
        <w:t>2.4. Administratorul este organul executiv al Companiei.</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 xml:space="preserve">2.4.1. </w:t>
      </w:r>
      <w:r w:rsidRPr="00047D89">
        <w:rPr>
          <w:rFonts w:ascii="Times New Roman" w:hAnsi="Times New Roman" w:cs="Times New Roman"/>
          <w:color w:val="000000" w:themeColor="text1"/>
          <w:sz w:val="24"/>
          <w:szCs w:val="24"/>
        </w:rPr>
        <w:t>Rolul Administratorului constă în gestionarea curentă a activității Companiei în vederea atingerii obiectivelor stabilite de organele de conducere ierarhic superioare în strategiile și politicile aprobate. Pentru a atinge obiectivul strategic ale Companiei și în dependență de direcțiile de activitate ale Companiei, Administratorul implementează obiectivele strategice aferente domeniului său de responsabilitate, procedurile de gestionare a riscurilor în strictă concordanță cu regulile stabilite și politicile aprobate de AGA și/sau Consiliu, după caz. Administratorul asigură reprezentarea generală a Companiei în relațiile cu terții şi exercită conducerea operativă a acesteia. În baza actelor de constituire, Administratorul este împuternicit să acționeze în numele Companiei, cu respectarea dispozițiilor legale şi ale Statutului Companiei, şi poate delega o parte din competențe către angajații subordonați ierarhic.</w:t>
      </w:r>
    </w:p>
    <w:p w:rsidR="00194F53" w:rsidRPr="00047D89" w:rsidRDefault="00194F53"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2.4.2. Administratorul este în drept:</w:t>
      </w:r>
    </w:p>
    <w:p w:rsidR="00194F53" w:rsidRPr="00047D89" w:rsidRDefault="00194F53"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a) să efectueze actele de gestiune a societăţii, necesare atingerii scopurilor prevăzute în actul de constituire şi în </w:t>
      </w:r>
      <w:r w:rsidR="00047D89" w:rsidRPr="00047D89">
        <w:rPr>
          <w:rFonts w:ascii="Times New Roman" w:hAnsi="Times New Roman" w:cs="Times New Roman"/>
          <w:color w:val="000000" w:themeColor="text1"/>
          <w:sz w:val="24"/>
          <w:szCs w:val="24"/>
        </w:rPr>
        <w:t>hotărârile</w:t>
      </w:r>
      <w:r w:rsidRPr="00047D89">
        <w:rPr>
          <w:rFonts w:ascii="Times New Roman" w:hAnsi="Times New Roman" w:cs="Times New Roman"/>
          <w:color w:val="000000" w:themeColor="text1"/>
          <w:sz w:val="24"/>
          <w:szCs w:val="24"/>
        </w:rPr>
        <w:t xml:space="preserve"> adunării generale a asociaţilor;  </w:t>
      </w:r>
    </w:p>
    <w:p w:rsidR="00194F53" w:rsidRPr="00047D89" w:rsidRDefault="00194F53"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b) să reprezinte fără procură societatea în raporturile cu organele statului, cu terţii şi în instanţele de judecată; </w:t>
      </w:r>
    </w:p>
    <w:p w:rsidR="00194F53" w:rsidRPr="00047D89" w:rsidRDefault="00194F53"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c) să elibereze altor persoane mandat în numele societății; </w:t>
      </w:r>
    </w:p>
    <w:p w:rsidR="00194F53" w:rsidRPr="00047D89" w:rsidRDefault="00194F53"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d) să exercite alte împuterniciri atribuite de adunarea generală a asociaţilor sau de consiliul societăţii conform competenţei lor.</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194F53" w:rsidRPr="00047D89">
        <w:rPr>
          <w:rFonts w:ascii="Times New Roman" w:hAnsi="Times New Roman" w:cs="Times New Roman"/>
          <w:b/>
          <w:color w:val="000000" w:themeColor="text1"/>
          <w:sz w:val="24"/>
          <w:szCs w:val="24"/>
        </w:rPr>
        <w:t>2.4.3</w:t>
      </w:r>
      <w:r w:rsidRPr="00047D89">
        <w:rPr>
          <w:rFonts w:ascii="Times New Roman" w:hAnsi="Times New Roman" w:cs="Times New Roman"/>
          <w:b/>
          <w:color w:val="000000" w:themeColor="text1"/>
          <w:sz w:val="24"/>
          <w:szCs w:val="24"/>
        </w:rPr>
        <w:t>.</w:t>
      </w:r>
      <w:r w:rsidRPr="00047D89">
        <w:rPr>
          <w:rFonts w:ascii="Times New Roman" w:hAnsi="Times New Roman" w:cs="Times New Roman"/>
          <w:color w:val="000000" w:themeColor="text1"/>
          <w:sz w:val="24"/>
          <w:szCs w:val="24"/>
        </w:rPr>
        <w:t xml:space="preserve"> </w:t>
      </w:r>
      <w:r w:rsidRPr="00047D89">
        <w:rPr>
          <w:rFonts w:ascii="Times New Roman" w:hAnsi="Times New Roman" w:cs="Times New Roman"/>
          <w:b/>
          <w:color w:val="000000" w:themeColor="text1"/>
          <w:sz w:val="24"/>
          <w:szCs w:val="24"/>
        </w:rPr>
        <w:t>Responsabilitățile principale ale Administratorului sunt:</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gestioneze Compania astfel încât scopurile, pentru care aceasta a fost constituită, să fie realizate cât mai eficient;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execute hotărârile AGA;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participe la AGA și la ședințele Consiliului, după caz;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asigure ţinerea contabilităţii Companiei, precum şi a registrelor Companiei şi să informeze asociaţii cu privire la activitatea Companiei;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dea dovadă de diligenţă şi loialitate în exercitarea atribuţiilor sale;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convoace AGA, dacă valoarea activelor nete ale Companii a devenit mai mică </w:t>
      </w:r>
      <w:r w:rsidR="00047D89" w:rsidRPr="00047D89">
        <w:rPr>
          <w:rFonts w:ascii="Times New Roman" w:hAnsi="Times New Roman" w:cs="Times New Roman"/>
          <w:color w:val="000000" w:themeColor="text1"/>
          <w:sz w:val="24"/>
          <w:szCs w:val="24"/>
        </w:rPr>
        <w:t>decât</w:t>
      </w:r>
      <w:r w:rsidRPr="00047D89">
        <w:rPr>
          <w:rFonts w:ascii="Times New Roman" w:hAnsi="Times New Roman" w:cs="Times New Roman"/>
          <w:color w:val="000000" w:themeColor="text1"/>
          <w:sz w:val="24"/>
          <w:szCs w:val="24"/>
        </w:rPr>
        <w:t xml:space="preserve"> capitalul ei social;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în cazul apariţiei indiciilor de insolvabilitate, să depună imediat, dar nu mai </w:t>
      </w:r>
      <w:r w:rsidR="00047D89" w:rsidRPr="00047D89">
        <w:rPr>
          <w:rFonts w:ascii="Times New Roman" w:hAnsi="Times New Roman" w:cs="Times New Roman"/>
          <w:color w:val="000000" w:themeColor="text1"/>
          <w:sz w:val="24"/>
          <w:szCs w:val="24"/>
        </w:rPr>
        <w:t>târziu</w:t>
      </w:r>
      <w:r w:rsidRPr="00047D89">
        <w:rPr>
          <w:rFonts w:ascii="Times New Roman" w:hAnsi="Times New Roman" w:cs="Times New Roman"/>
          <w:color w:val="000000" w:themeColor="text1"/>
          <w:sz w:val="24"/>
          <w:szCs w:val="24"/>
        </w:rPr>
        <w:t xml:space="preserve"> </w:t>
      </w:r>
      <w:r w:rsidR="00047D89" w:rsidRPr="00047D89">
        <w:rPr>
          <w:rFonts w:ascii="Times New Roman" w:hAnsi="Times New Roman" w:cs="Times New Roman"/>
          <w:color w:val="000000" w:themeColor="text1"/>
          <w:sz w:val="24"/>
          <w:szCs w:val="24"/>
        </w:rPr>
        <w:t>decât</w:t>
      </w:r>
      <w:r w:rsidRPr="00047D89">
        <w:rPr>
          <w:rFonts w:ascii="Times New Roman" w:hAnsi="Times New Roman" w:cs="Times New Roman"/>
          <w:color w:val="000000" w:themeColor="text1"/>
          <w:sz w:val="24"/>
          <w:szCs w:val="24"/>
        </w:rPr>
        <w:t xml:space="preserve"> la expirarea termenului prevăzut de lege, cerere introductivă de intentare a procesului de insolvabilitate dacă asociaţii nu vor acoperi pierderile;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lastRenderedPageBreak/>
        <w:tab/>
        <w:t xml:space="preserve">• să respecte limitele împuternicirilor stabilite de către AGA. </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să asigure și să monitorizeze realizările adecvate a atribuțiilor personalului din subordine, astfel </w:t>
      </w:r>
      <w:r w:rsidR="00047D89" w:rsidRPr="00047D89">
        <w:rPr>
          <w:rFonts w:ascii="Times New Roman" w:hAnsi="Times New Roman" w:cs="Times New Roman"/>
          <w:color w:val="000000" w:themeColor="text1"/>
          <w:sz w:val="24"/>
          <w:szCs w:val="24"/>
        </w:rPr>
        <w:t>încât</w:t>
      </w:r>
      <w:r w:rsidRPr="00047D89">
        <w:rPr>
          <w:rFonts w:ascii="Times New Roman" w:hAnsi="Times New Roman" w:cs="Times New Roman"/>
          <w:color w:val="000000" w:themeColor="text1"/>
          <w:sz w:val="24"/>
          <w:szCs w:val="24"/>
        </w:rPr>
        <w:t xml:space="preserve"> activitatea Companiei să fie consistentă cu obiectivele strategice ale acesteia;</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să asigure repartizarea sarcinilor și responsabilităților ce îi revin personalului Companiei și stabilirea unei structuri de administrare, care promovează în cadrul Companiei o activitate responsabilă și transparentă.</w:t>
      </w:r>
    </w:p>
    <w:p w:rsidR="00115F46" w:rsidRPr="00047D89" w:rsidRDefault="00115F46" w:rsidP="00A23BAC">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194F53" w:rsidRPr="00047D89">
        <w:rPr>
          <w:rFonts w:ascii="Times New Roman" w:hAnsi="Times New Roman" w:cs="Times New Roman"/>
          <w:b/>
          <w:color w:val="000000" w:themeColor="text1"/>
          <w:sz w:val="24"/>
          <w:szCs w:val="24"/>
        </w:rPr>
        <w:t>2.4.4</w:t>
      </w:r>
      <w:r w:rsidRPr="00047D89">
        <w:rPr>
          <w:rFonts w:ascii="Times New Roman" w:hAnsi="Times New Roman" w:cs="Times New Roman"/>
          <w:b/>
          <w:color w:val="000000" w:themeColor="text1"/>
          <w:sz w:val="24"/>
          <w:szCs w:val="24"/>
        </w:rPr>
        <w:t>.</w:t>
      </w:r>
      <w:r w:rsidRPr="00047D89">
        <w:rPr>
          <w:rFonts w:ascii="Times New Roman" w:hAnsi="Times New Roman" w:cs="Times New Roman"/>
          <w:color w:val="000000" w:themeColor="text1"/>
          <w:sz w:val="24"/>
          <w:szCs w:val="24"/>
        </w:rPr>
        <w:t xml:space="preserve"> Administratorul întocmește Rapoarte privind activitatea Companiei, care se prezintă anual către AGA, sau la solicitare.</w:t>
      </w:r>
    </w:p>
    <w:p w:rsidR="00115F46" w:rsidRPr="00047D89" w:rsidRDefault="00115F46" w:rsidP="00115F46">
      <w:pPr>
        <w:jc w:val="center"/>
        <w:rPr>
          <w:rFonts w:ascii="Times New Roman" w:eastAsia="Times New Roman" w:hAnsi="Times New Roman" w:cs="Times New Roman"/>
          <w:bCs/>
          <w:color w:val="000000" w:themeColor="text1"/>
          <w:sz w:val="24"/>
          <w:szCs w:val="24"/>
        </w:rPr>
      </w:pPr>
      <w:r w:rsidRPr="00047D89">
        <w:rPr>
          <w:rFonts w:ascii="Times New Roman" w:eastAsia="Times New Roman" w:hAnsi="Times New Roman" w:cs="Times New Roman"/>
          <w:b/>
          <w:bCs/>
          <w:color w:val="000000" w:themeColor="text1"/>
          <w:sz w:val="24"/>
          <w:szCs w:val="24"/>
        </w:rPr>
        <w:t>Capitolul III. Administrarea riscurilor</w:t>
      </w:r>
    </w:p>
    <w:p w:rsidR="00115F46" w:rsidRPr="00047D89" w:rsidRDefault="00115F46" w:rsidP="00115F46">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t>3.1.</w:t>
      </w:r>
      <w:r w:rsidRPr="00047D89">
        <w:rPr>
          <w:rFonts w:ascii="Times New Roman" w:hAnsi="Times New Roman" w:cs="Times New Roman"/>
          <w:color w:val="000000" w:themeColor="text1"/>
          <w:sz w:val="24"/>
          <w:szCs w:val="24"/>
        </w:rPr>
        <w:t xml:space="preserve"> Administrarea riscurilor la nivelul Companiei presupune </w:t>
      </w:r>
      <w:r w:rsidR="00266E38" w:rsidRPr="00047D89">
        <w:rPr>
          <w:rFonts w:ascii="Times New Roman" w:hAnsi="Times New Roman" w:cs="Times New Roman"/>
          <w:color w:val="000000" w:themeColor="text1"/>
          <w:sz w:val="24"/>
          <w:szCs w:val="24"/>
        </w:rPr>
        <w:t>identificarea, analizarea, evaluarea, diminuarea, monitorizarea și raportarea riscurilor la care este expusă Societatea, cu luarea în considerare atât a factorilor interni, cât și a factorilor externi.</w:t>
      </w:r>
    </w:p>
    <w:p w:rsidR="00266E38" w:rsidRPr="00047D89" w:rsidRDefault="001B1D34"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E061A1" w:rsidRPr="00047D89">
        <w:rPr>
          <w:rFonts w:ascii="Times New Roman" w:hAnsi="Times New Roman" w:cs="Times New Roman"/>
          <w:b/>
          <w:color w:val="000000" w:themeColor="text1"/>
          <w:sz w:val="24"/>
          <w:szCs w:val="24"/>
        </w:rPr>
        <w:t>3.1.1</w:t>
      </w:r>
      <w:r w:rsidRPr="00047D89">
        <w:rPr>
          <w:rFonts w:ascii="Times New Roman" w:hAnsi="Times New Roman" w:cs="Times New Roman"/>
          <w:b/>
          <w:color w:val="000000" w:themeColor="text1"/>
          <w:sz w:val="24"/>
          <w:szCs w:val="24"/>
        </w:rPr>
        <w:t xml:space="preserve">. </w:t>
      </w:r>
      <w:r w:rsidR="00266E38" w:rsidRPr="00047D89">
        <w:rPr>
          <w:rFonts w:ascii="Times New Roman" w:hAnsi="Times New Roman" w:cs="Times New Roman"/>
          <w:b/>
          <w:color w:val="000000" w:themeColor="text1"/>
          <w:sz w:val="24"/>
          <w:szCs w:val="24"/>
        </w:rPr>
        <w:t xml:space="preserve">Risc de creditare – </w:t>
      </w:r>
      <w:r w:rsidR="00266E38" w:rsidRPr="00047D89">
        <w:rPr>
          <w:rFonts w:ascii="Times New Roman" w:hAnsi="Times New Roman" w:cs="Times New Roman"/>
          <w:color w:val="000000" w:themeColor="text1"/>
          <w:sz w:val="24"/>
          <w:szCs w:val="24"/>
        </w:rPr>
        <w:t xml:space="preserve">riscul </w:t>
      </w:r>
      <w:r w:rsidR="00E061A1" w:rsidRPr="00047D89">
        <w:rPr>
          <w:rFonts w:ascii="Times New Roman" w:hAnsi="Times New Roman" w:cs="Times New Roman"/>
          <w:color w:val="000000" w:themeColor="text1"/>
          <w:sz w:val="24"/>
          <w:szCs w:val="24"/>
        </w:rPr>
        <w:t>actual sau viitor de afectare negativă a profiturilor și capitalului ca urmare a neîndeplinirii de către debitor a obligațiilor contractuale sau a eșecului acestuia în îndeplinirea celor stabilite.</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Pentru păstrarea unui portofoliu calitativ, urmează de întreprins următoarele:</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Monitorizarea continuă a calității portofoliului;</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Respectarea actelor normative și normelor interne cu privire la creditare;</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Evitarea concentrărilor riscante a creditelor pe anumite produse;</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Evitarea creșterii excesive a valorii portofoliului de credite peste posibilitățile Societății;</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Perfecționarea sistemelor de detectare a creditelor cu probleme.</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 xml:space="preserve">3.1.2. Risc de lichiditate </w:t>
      </w:r>
      <w:r w:rsidRPr="00047D89">
        <w:rPr>
          <w:rFonts w:ascii="Times New Roman" w:hAnsi="Times New Roman" w:cs="Times New Roman"/>
          <w:color w:val="000000" w:themeColor="text1"/>
          <w:sz w:val="24"/>
          <w:szCs w:val="24"/>
        </w:rPr>
        <w:t xml:space="preserve"> - riscul actual sau viitor de afectare a profiturilor și capitalului, determinat de incapacitatea Societății, de a-și îndeplini obligațiile la scadența acestora.</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Pentru evitarea riscului de lichiditate, trebuie realizată o corelare corespunzătoare a activelor cu pasivelor, raportat la durata de mobilizare și utilizare a resurselor.</w:t>
      </w:r>
    </w:p>
    <w:p w:rsidR="001B1D34" w:rsidRPr="00047D89" w:rsidRDefault="00266E38" w:rsidP="00115F46">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r>
      <w:r w:rsidR="00E061A1" w:rsidRPr="00047D89">
        <w:rPr>
          <w:rFonts w:ascii="Times New Roman" w:hAnsi="Times New Roman" w:cs="Times New Roman"/>
          <w:b/>
          <w:color w:val="000000" w:themeColor="text1"/>
          <w:sz w:val="24"/>
          <w:szCs w:val="24"/>
        </w:rPr>
        <w:t>3.1.3</w:t>
      </w:r>
      <w:r w:rsidRPr="00047D89">
        <w:rPr>
          <w:rFonts w:ascii="Times New Roman" w:hAnsi="Times New Roman" w:cs="Times New Roman"/>
          <w:b/>
          <w:color w:val="000000" w:themeColor="text1"/>
          <w:sz w:val="24"/>
          <w:szCs w:val="24"/>
        </w:rPr>
        <w:t xml:space="preserve">. </w:t>
      </w:r>
      <w:r w:rsidR="00B0478C" w:rsidRPr="00047D89">
        <w:rPr>
          <w:rFonts w:ascii="Times New Roman" w:hAnsi="Times New Roman" w:cs="Times New Roman"/>
          <w:b/>
          <w:color w:val="000000" w:themeColor="text1"/>
          <w:sz w:val="24"/>
          <w:szCs w:val="24"/>
        </w:rPr>
        <w:t>Risc operaț</w:t>
      </w:r>
      <w:r w:rsidR="001B1D34" w:rsidRPr="00047D89">
        <w:rPr>
          <w:rFonts w:ascii="Times New Roman" w:hAnsi="Times New Roman" w:cs="Times New Roman"/>
          <w:b/>
          <w:color w:val="000000" w:themeColor="text1"/>
          <w:sz w:val="24"/>
          <w:szCs w:val="24"/>
        </w:rPr>
        <w:t xml:space="preserve">ional - </w:t>
      </w:r>
      <w:r w:rsidR="001B1D34" w:rsidRPr="00047D89">
        <w:rPr>
          <w:rFonts w:ascii="Times New Roman" w:hAnsi="Times New Roman" w:cs="Times New Roman"/>
          <w:color w:val="000000" w:themeColor="text1"/>
          <w:sz w:val="24"/>
          <w:szCs w:val="24"/>
        </w:rPr>
        <w:t xml:space="preserve">riscul actual sau viitor de afectare a profiturilor și a capitalului care rezultă din procese sau sisteme interne inadecvate sau eșuate și/sau în urma acțiunii unor persoane sau evenimente externe. </w:t>
      </w:r>
    </w:p>
    <w:p w:rsidR="001B1D34" w:rsidRPr="00047D89" w:rsidRDefault="001B1D34"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Societatea urmează să</w:t>
      </w:r>
      <w:r w:rsidR="00B0478C" w:rsidRPr="00047D89">
        <w:rPr>
          <w:rFonts w:ascii="Times New Roman" w:hAnsi="Times New Roman" w:cs="Times New Roman"/>
          <w:color w:val="000000" w:themeColor="text1"/>
          <w:sz w:val="24"/>
          <w:szCs w:val="24"/>
        </w:rPr>
        <w:t xml:space="preserve"> ia măsuri în scopul identificării și evaluă</w:t>
      </w:r>
      <w:r w:rsidRPr="00047D89">
        <w:rPr>
          <w:rFonts w:ascii="Times New Roman" w:hAnsi="Times New Roman" w:cs="Times New Roman"/>
          <w:color w:val="000000" w:themeColor="text1"/>
          <w:sz w:val="24"/>
          <w:szCs w:val="24"/>
        </w:rPr>
        <w:t>ri</w:t>
      </w:r>
      <w:r w:rsidR="00B0478C" w:rsidRPr="00047D89">
        <w:rPr>
          <w:rFonts w:ascii="Times New Roman" w:hAnsi="Times New Roman" w:cs="Times New Roman"/>
          <w:color w:val="000000" w:themeColor="text1"/>
          <w:sz w:val="24"/>
          <w:szCs w:val="24"/>
        </w:rPr>
        <w:t>i riscului operațional: a) evaluarea operațiunilor și activităților în vederea determină</w:t>
      </w:r>
      <w:r w:rsidRPr="00047D89">
        <w:rPr>
          <w:rFonts w:ascii="Times New Roman" w:hAnsi="Times New Roman" w:cs="Times New Roman"/>
          <w:color w:val="000000" w:themeColor="text1"/>
          <w:sz w:val="24"/>
          <w:szCs w:val="24"/>
        </w:rPr>
        <w:t>rii ce</w:t>
      </w:r>
      <w:r w:rsidR="00B0478C" w:rsidRPr="00047D89">
        <w:rPr>
          <w:rFonts w:ascii="Times New Roman" w:hAnsi="Times New Roman" w:cs="Times New Roman"/>
          <w:color w:val="000000" w:themeColor="text1"/>
          <w:sz w:val="24"/>
          <w:szCs w:val="24"/>
        </w:rPr>
        <w:t>lor vulnerabile la riscul operaț</w:t>
      </w:r>
      <w:r w:rsidRPr="00047D89">
        <w:rPr>
          <w:rFonts w:ascii="Times New Roman" w:hAnsi="Times New Roman" w:cs="Times New Roman"/>
          <w:color w:val="000000" w:themeColor="text1"/>
          <w:sz w:val="24"/>
          <w:szCs w:val="24"/>
        </w:rPr>
        <w:t>ional: b) stabilire</w:t>
      </w:r>
      <w:r w:rsidR="00B0478C" w:rsidRPr="00047D89">
        <w:rPr>
          <w:rFonts w:ascii="Times New Roman" w:hAnsi="Times New Roman" w:cs="Times New Roman"/>
          <w:color w:val="000000" w:themeColor="text1"/>
          <w:sz w:val="24"/>
          <w:szCs w:val="24"/>
        </w:rPr>
        <w:t>a unor indicatori cu ajutorul cărora să poată fi determinată gravitatea erorilor ș</w:t>
      </w:r>
      <w:r w:rsidRPr="00047D89">
        <w:rPr>
          <w:rFonts w:ascii="Times New Roman" w:hAnsi="Times New Roman" w:cs="Times New Roman"/>
          <w:color w:val="000000" w:themeColor="text1"/>
          <w:sz w:val="24"/>
          <w:szCs w:val="24"/>
        </w:rPr>
        <w:t xml:space="preserve">i </w:t>
      </w:r>
      <w:r w:rsidRPr="00047D89">
        <w:rPr>
          <w:rFonts w:ascii="Times New Roman" w:hAnsi="Times New Roman" w:cs="Times New Roman"/>
          <w:color w:val="000000" w:themeColor="text1"/>
          <w:sz w:val="24"/>
          <w:szCs w:val="24"/>
        </w:rPr>
        <w:lastRenderedPageBreak/>
        <w:t>omisiunilor, rata de fluctua</w:t>
      </w:r>
      <w:r w:rsidR="00B0478C" w:rsidRPr="00047D89">
        <w:rPr>
          <w:rFonts w:ascii="Times New Roman" w:hAnsi="Times New Roman" w:cs="Times New Roman"/>
          <w:color w:val="000000" w:themeColor="text1"/>
          <w:sz w:val="24"/>
          <w:szCs w:val="24"/>
        </w:rPr>
        <w:t>ție a personalului, creșterea rapidă a activității, precum și a unor l</w:t>
      </w:r>
      <w:r w:rsidRPr="00047D89">
        <w:rPr>
          <w:rFonts w:ascii="Times New Roman" w:hAnsi="Times New Roman" w:cs="Times New Roman"/>
          <w:color w:val="000000" w:themeColor="text1"/>
          <w:sz w:val="24"/>
          <w:szCs w:val="24"/>
        </w:rPr>
        <w:t>imite aferente a</w:t>
      </w:r>
      <w:r w:rsidR="00B0478C" w:rsidRPr="00047D89">
        <w:rPr>
          <w:rFonts w:ascii="Times New Roman" w:hAnsi="Times New Roman" w:cs="Times New Roman"/>
          <w:color w:val="000000" w:themeColor="text1"/>
          <w:sz w:val="24"/>
          <w:szCs w:val="24"/>
        </w:rPr>
        <w:t>cestora; c) evaluarea permanentă a expunerilor la riscul operaț</w:t>
      </w:r>
      <w:r w:rsidRPr="00047D89">
        <w:rPr>
          <w:rFonts w:ascii="Times New Roman" w:hAnsi="Times New Roman" w:cs="Times New Roman"/>
          <w:color w:val="000000" w:themeColor="text1"/>
          <w:sz w:val="24"/>
          <w:szCs w:val="24"/>
        </w:rPr>
        <w:t>ional (de exemplu, pe ba</w:t>
      </w:r>
      <w:r w:rsidR="00B0478C" w:rsidRPr="00047D89">
        <w:rPr>
          <w:rFonts w:ascii="Times New Roman" w:hAnsi="Times New Roman" w:cs="Times New Roman"/>
          <w:color w:val="000000" w:themeColor="text1"/>
          <w:sz w:val="24"/>
          <w:szCs w:val="24"/>
        </w:rPr>
        <w:t>za datelor istorice legate de î</w:t>
      </w:r>
      <w:r w:rsidRPr="00047D89">
        <w:rPr>
          <w:rFonts w:ascii="Times New Roman" w:hAnsi="Times New Roman" w:cs="Times New Roman"/>
          <w:color w:val="000000" w:themeColor="text1"/>
          <w:sz w:val="24"/>
          <w:szCs w:val="24"/>
        </w:rPr>
        <w:t>n</w:t>
      </w:r>
      <w:r w:rsidR="00B0478C" w:rsidRPr="00047D89">
        <w:rPr>
          <w:rFonts w:ascii="Times New Roman" w:hAnsi="Times New Roman" w:cs="Times New Roman"/>
          <w:color w:val="000000" w:themeColor="text1"/>
          <w:sz w:val="24"/>
          <w:szCs w:val="24"/>
        </w:rPr>
        <w:t>registrarea de pierderi, analizăr</w:t>
      </w:r>
      <w:r w:rsidRPr="00047D89">
        <w:rPr>
          <w:rFonts w:ascii="Times New Roman" w:hAnsi="Times New Roman" w:cs="Times New Roman"/>
          <w:color w:val="000000" w:themeColor="text1"/>
          <w:sz w:val="24"/>
          <w:szCs w:val="24"/>
        </w:rPr>
        <w:t>ii</w:t>
      </w:r>
      <w:r w:rsidR="00B0478C" w:rsidRPr="00047D89">
        <w:rPr>
          <w:rFonts w:ascii="Times New Roman" w:hAnsi="Times New Roman" w:cs="Times New Roman"/>
          <w:color w:val="000000" w:themeColor="text1"/>
          <w:sz w:val="24"/>
          <w:szCs w:val="24"/>
        </w:rPr>
        <w:t xml:space="preserve"> </w:t>
      </w:r>
      <w:r w:rsidRPr="00047D89">
        <w:rPr>
          <w:rFonts w:ascii="Times New Roman" w:hAnsi="Times New Roman" w:cs="Times New Roman"/>
          <w:color w:val="000000" w:themeColor="text1"/>
          <w:sz w:val="24"/>
          <w:szCs w:val="24"/>
        </w:rPr>
        <w:t>unor scenarii diferite).</w:t>
      </w:r>
    </w:p>
    <w:p w:rsidR="001B1D34" w:rsidRPr="00047D89" w:rsidRDefault="001B1D34"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E061A1" w:rsidRPr="00047D89">
        <w:rPr>
          <w:rFonts w:ascii="Times New Roman" w:hAnsi="Times New Roman" w:cs="Times New Roman"/>
          <w:b/>
          <w:color w:val="000000" w:themeColor="text1"/>
          <w:sz w:val="24"/>
          <w:szCs w:val="24"/>
        </w:rPr>
        <w:t>3.1.4</w:t>
      </w:r>
      <w:r w:rsidRPr="00047D89">
        <w:rPr>
          <w:rFonts w:ascii="Times New Roman" w:hAnsi="Times New Roman" w:cs="Times New Roman"/>
          <w:b/>
          <w:color w:val="000000" w:themeColor="text1"/>
          <w:sz w:val="24"/>
          <w:szCs w:val="24"/>
        </w:rPr>
        <w:t>.</w:t>
      </w:r>
      <w:r w:rsidR="00B7357D" w:rsidRPr="00047D89">
        <w:rPr>
          <w:rFonts w:ascii="Times New Roman" w:hAnsi="Times New Roman" w:cs="Times New Roman"/>
          <w:b/>
          <w:color w:val="000000" w:themeColor="text1"/>
          <w:sz w:val="24"/>
          <w:szCs w:val="24"/>
        </w:rPr>
        <w:t xml:space="preserve"> Risc de piață </w:t>
      </w:r>
      <w:r w:rsidR="00B7357D" w:rsidRPr="00047D89">
        <w:rPr>
          <w:rFonts w:ascii="Times New Roman" w:hAnsi="Times New Roman" w:cs="Times New Roman"/>
          <w:color w:val="000000" w:themeColor="text1"/>
          <w:sz w:val="24"/>
          <w:szCs w:val="24"/>
        </w:rPr>
        <w:t xml:space="preserve">– riscul de a înregistra pierderi aferente pozițiilor din bilanț și din </w:t>
      </w:r>
      <w:r w:rsidR="00047D89" w:rsidRPr="00047D89">
        <w:rPr>
          <w:rFonts w:ascii="Times New Roman" w:hAnsi="Times New Roman" w:cs="Times New Roman"/>
          <w:color w:val="000000" w:themeColor="text1"/>
          <w:sz w:val="24"/>
          <w:szCs w:val="24"/>
        </w:rPr>
        <w:t>afară</w:t>
      </w:r>
      <w:r w:rsidR="00B7357D" w:rsidRPr="00047D89">
        <w:rPr>
          <w:rFonts w:ascii="Times New Roman" w:hAnsi="Times New Roman" w:cs="Times New Roman"/>
          <w:color w:val="000000" w:themeColor="text1"/>
          <w:sz w:val="24"/>
          <w:szCs w:val="24"/>
        </w:rPr>
        <w:t xml:space="preserve"> bilanțului din cauza fluctuațiilor nefavorabile pe piață ale prețurilor instrumentelor financiare și ale titlurilor de capital deținute pentru tranzacționare, ale ratelor dobânzii și ale cursului de schimb valutar.</w:t>
      </w:r>
    </w:p>
    <w:p w:rsidR="00B7357D" w:rsidRPr="00047D89" w:rsidRDefault="00B7357D"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Factorii de risc de piață, includ ratele dobânzii, cursurile de schimb valutar.</w:t>
      </w:r>
    </w:p>
    <w:p w:rsidR="000A76D0" w:rsidRPr="00047D89" w:rsidRDefault="00B7357D"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Sistemul de măsurare al riscului de piață trebuie să arate sen</w:t>
      </w:r>
      <w:r w:rsidR="002E0DF1" w:rsidRPr="00047D89">
        <w:rPr>
          <w:rFonts w:ascii="Times New Roman" w:hAnsi="Times New Roman" w:cs="Times New Roman"/>
          <w:color w:val="000000" w:themeColor="text1"/>
          <w:sz w:val="24"/>
          <w:szCs w:val="24"/>
        </w:rPr>
        <w:t>sib</w:t>
      </w:r>
      <w:r w:rsidRPr="00047D89">
        <w:rPr>
          <w:rFonts w:ascii="Times New Roman" w:hAnsi="Times New Roman" w:cs="Times New Roman"/>
          <w:color w:val="000000" w:themeColor="text1"/>
          <w:sz w:val="24"/>
          <w:szCs w:val="24"/>
        </w:rPr>
        <w:t>i</w:t>
      </w:r>
      <w:r w:rsidR="002E0DF1" w:rsidRPr="00047D89">
        <w:rPr>
          <w:rFonts w:ascii="Times New Roman" w:hAnsi="Times New Roman" w:cs="Times New Roman"/>
          <w:color w:val="000000" w:themeColor="text1"/>
          <w:sz w:val="24"/>
          <w:szCs w:val="24"/>
        </w:rPr>
        <w:t>li</w:t>
      </w:r>
      <w:r w:rsidRPr="00047D89">
        <w:rPr>
          <w:rFonts w:ascii="Times New Roman" w:hAnsi="Times New Roman" w:cs="Times New Roman"/>
          <w:color w:val="000000" w:themeColor="text1"/>
          <w:sz w:val="24"/>
          <w:szCs w:val="24"/>
        </w:rPr>
        <w:t xml:space="preserve">tatea </w:t>
      </w:r>
      <w:r w:rsidR="00047D89">
        <w:rPr>
          <w:rFonts w:ascii="Times New Roman" w:hAnsi="Times New Roman" w:cs="Times New Roman"/>
          <w:color w:val="000000" w:themeColor="text1"/>
          <w:sz w:val="24"/>
          <w:szCs w:val="24"/>
        </w:rPr>
        <w:t>expunerii</w:t>
      </w:r>
      <w:bookmarkStart w:id="0" w:name="_GoBack"/>
      <w:bookmarkEnd w:id="0"/>
      <w:r w:rsidR="000A76D0" w:rsidRPr="00047D89">
        <w:rPr>
          <w:rFonts w:ascii="Times New Roman" w:hAnsi="Times New Roman" w:cs="Times New Roman"/>
          <w:color w:val="000000" w:themeColor="text1"/>
          <w:sz w:val="24"/>
          <w:szCs w:val="24"/>
        </w:rPr>
        <w:t xml:space="preserve"> la schimbările potențiale adverse a factorilor care influențează valoarea pozițiilor Societății.</w:t>
      </w:r>
    </w:p>
    <w:p w:rsidR="001B1D34" w:rsidRPr="00047D89" w:rsidRDefault="001B1D34" w:rsidP="00115F46">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r>
      <w:r w:rsidR="00E061A1" w:rsidRPr="00047D89">
        <w:rPr>
          <w:rFonts w:ascii="Times New Roman" w:hAnsi="Times New Roman" w:cs="Times New Roman"/>
          <w:b/>
          <w:color w:val="000000" w:themeColor="text1"/>
          <w:sz w:val="24"/>
          <w:szCs w:val="24"/>
        </w:rPr>
        <w:t>3.1.5</w:t>
      </w:r>
      <w:r w:rsidRPr="00047D89">
        <w:rPr>
          <w:rFonts w:ascii="Times New Roman" w:hAnsi="Times New Roman" w:cs="Times New Roman"/>
          <w:b/>
          <w:color w:val="000000" w:themeColor="text1"/>
          <w:sz w:val="24"/>
          <w:szCs w:val="24"/>
        </w:rPr>
        <w:t xml:space="preserve">. </w:t>
      </w:r>
      <w:r w:rsidR="000A76D0" w:rsidRPr="00047D89">
        <w:rPr>
          <w:rFonts w:ascii="Times New Roman" w:hAnsi="Times New Roman" w:cs="Times New Roman"/>
          <w:b/>
          <w:color w:val="000000" w:themeColor="text1"/>
          <w:sz w:val="24"/>
          <w:szCs w:val="24"/>
        </w:rPr>
        <w:t xml:space="preserve">Risc reputațional </w:t>
      </w:r>
      <w:r w:rsidR="000A76D0" w:rsidRPr="00047D89">
        <w:rPr>
          <w:rFonts w:ascii="Times New Roman" w:hAnsi="Times New Roman" w:cs="Times New Roman"/>
          <w:color w:val="000000" w:themeColor="text1"/>
          <w:sz w:val="24"/>
          <w:szCs w:val="24"/>
        </w:rPr>
        <w:t xml:space="preserve">– riscul înregistrării de pierderi sau al nerealizării profiturilor estimate, publicitatea negativă care conduce la lipsa încrederii publicului în integritatea Societății. </w:t>
      </w:r>
    </w:p>
    <w:p w:rsidR="000A76D0" w:rsidRPr="00047D89" w:rsidRDefault="000A76D0"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Identificarea, monitorizarea, evaluarea, remedierea riscului reputațional se face atât la nivelul de ansamblu al Societății, cât și la toate nivelurile organizatorice ale acesteia și ține cont de toate ariile de activitate ale Societății, de activitățile externalizate, cât și de apariția unor activități noi.</w:t>
      </w:r>
    </w:p>
    <w:p w:rsidR="000A76D0" w:rsidRPr="00047D89" w:rsidRDefault="000A76D0"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Din p</w:t>
      </w:r>
      <w:r w:rsidR="00833855" w:rsidRPr="00047D89">
        <w:rPr>
          <w:rFonts w:ascii="Times New Roman" w:hAnsi="Times New Roman" w:cs="Times New Roman"/>
          <w:color w:val="000000" w:themeColor="text1"/>
          <w:sz w:val="24"/>
          <w:szCs w:val="24"/>
        </w:rPr>
        <w:t xml:space="preserve">unct de vedere al potențialului </w:t>
      </w:r>
      <w:r w:rsidR="00B76126" w:rsidRPr="00047D89">
        <w:rPr>
          <w:rFonts w:ascii="Times New Roman" w:hAnsi="Times New Roman" w:cs="Times New Roman"/>
          <w:color w:val="000000" w:themeColor="text1"/>
          <w:sz w:val="24"/>
          <w:szCs w:val="24"/>
        </w:rPr>
        <w:t>de risc reputa</w:t>
      </w:r>
      <w:r w:rsidR="00833855" w:rsidRPr="00047D89">
        <w:rPr>
          <w:rFonts w:ascii="Times New Roman" w:hAnsi="Times New Roman" w:cs="Times New Roman"/>
          <w:color w:val="000000" w:themeColor="text1"/>
          <w:sz w:val="24"/>
          <w:szCs w:val="24"/>
        </w:rPr>
        <w:t xml:space="preserve">țional, </w:t>
      </w:r>
      <w:r w:rsidR="00833855" w:rsidRPr="00047D89">
        <w:rPr>
          <w:rFonts w:ascii="Times New Roman" w:hAnsi="Times New Roman" w:cs="Times New Roman"/>
          <w:b/>
          <w:color w:val="000000" w:themeColor="text1"/>
          <w:sz w:val="24"/>
          <w:szCs w:val="24"/>
        </w:rPr>
        <w:t>trebuie acordată o atenție sporită următoarelor aspecte:</w:t>
      </w:r>
    </w:p>
    <w:p w:rsidR="00833855" w:rsidRPr="00047D89" w:rsidRDefault="0083385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Poșta electronică – potențial de risc datorat transmiterii, din eroare sau intenționat, a unor informații confidențiale/eronate din interiorul Societății către exterior prin e-mail, cu date de identificare din partea Societății;</w:t>
      </w:r>
    </w:p>
    <w:p w:rsidR="00833855" w:rsidRPr="00047D89" w:rsidRDefault="0083385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Neadmiterea comunicării externe prin personal neautorizat;</w:t>
      </w:r>
    </w:p>
    <w:p w:rsidR="00833855" w:rsidRPr="00047D89" w:rsidRDefault="0083385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Fluctuațiile de personal;</w:t>
      </w:r>
    </w:p>
    <w:p w:rsidR="00833855" w:rsidRPr="00047D89" w:rsidRDefault="0083385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Campanii media negative;</w:t>
      </w:r>
    </w:p>
    <w:p w:rsidR="00833855" w:rsidRPr="00047D89" w:rsidRDefault="0083385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w:t>
      </w:r>
      <w:r w:rsidR="00047D89" w:rsidRPr="00047D89">
        <w:rPr>
          <w:rFonts w:ascii="Times New Roman" w:hAnsi="Times New Roman" w:cs="Times New Roman"/>
          <w:color w:val="000000" w:themeColor="text1"/>
          <w:sz w:val="24"/>
          <w:szCs w:val="24"/>
        </w:rPr>
        <w:t>Concentrarea</w:t>
      </w:r>
      <w:r w:rsidRPr="00047D89">
        <w:rPr>
          <w:rFonts w:ascii="Times New Roman" w:hAnsi="Times New Roman" w:cs="Times New Roman"/>
          <w:color w:val="000000" w:themeColor="text1"/>
          <w:sz w:val="24"/>
          <w:szCs w:val="24"/>
        </w:rPr>
        <w:t xml:space="preserve"> pe anumite pagini web a unor opinii, exclusiv de la clienți nemulțumiți.</w:t>
      </w:r>
    </w:p>
    <w:p w:rsidR="00833855" w:rsidRPr="00047D89" w:rsidRDefault="00833855" w:rsidP="00115F46">
      <w:pPr>
        <w:jc w:val="both"/>
        <w:rPr>
          <w:rFonts w:ascii="Times New Roman" w:hAnsi="Times New Roman" w:cs="Times New Roman"/>
          <w:b/>
          <w:color w:val="000000" w:themeColor="text1"/>
          <w:sz w:val="24"/>
          <w:szCs w:val="24"/>
        </w:rPr>
      </w:pPr>
      <w:r w:rsidRPr="00047D89">
        <w:rPr>
          <w:rFonts w:ascii="Times New Roman" w:hAnsi="Times New Roman" w:cs="Times New Roman"/>
          <w:color w:val="000000" w:themeColor="text1"/>
          <w:sz w:val="24"/>
          <w:szCs w:val="24"/>
        </w:rPr>
        <w:tab/>
      </w:r>
      <w:r w:rsidR="00B76126" w:rsidRPr="00047D89">
        <w:rPr>
          <w:rFonts w:ascii="Times New Roman" w:hAnsi="Times New Roman" w:cs="Times New Roman"/>
          <w:b/>
          <w:color w:val="000000" w:themeColor="text1"/>
          <w:sz w:val="24"/>
          <w:szCs w:val="24"/>
        </w:rPr>
        <w:t>Monitorizarea riscului reputa</w:t>
      </w:r>
      <w:r w:rsidRPr="00047D89">
        <w:rPr>
          <w:rFonts w:ascii="Times New Roman" w:hAnsi="Times New Roman" w:cs="Times New Roman"/>
          <w:b/>
          <w:color w:val="000000" w:themeColor="text1"/>
          <w:sz w:val="24"/>
          <w:szCs w:val="24"/>
        </w:rPr>
        <w:t>țional, se realizează prin:</w:t>
      </w:r>
    </w:p>
    <w:p w:rsidR="00833855" w:rsidRPr="00047D89" w:rsidRDefault="0083385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w:t>
      </w:r>
      <w:r w:rsidR="00E061A1" w:rsidRPr="00047D89">
        <w:rPr>
          <w:rFonts w:ascii="Times New Roman" w:hAnsi="Times New Roman" w:cs="Times New Roman"/>
          <w:color w:val="000000" w:themeColor="text1"/>
          <w:sz w:val="24"/>
          <w:szCs w:val="24"/>
        </w:rPr>
        <w:t>monitorizarea periodică a publicațiilor;</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stabilirea împreună cu conducerea a strategiei de comunicare pe fiecare caz;</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monitorizarea sistemului IT și stabilirea de proceduri și reguli clare și restrictive cu privire la modalitățile de utilizare a emailului în relația cu clienții și terții;</w:t>
      </w:r>
    </w:p>
    <w:p w:rsidR="00E061A1" w:rsidRPr="00047D89" w:rsidRDefault="00E061A1" w:rsidP="00115F46">
      <w:pPr>
        <w:jc w:val="both"/>
        <w:rPr>
          <w:rFonts w:ascii="Times New Roman" w:hAnsi="Times New Roman" w:cs="Times New Roman"/>
          <w:b/>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Administrarea riscului reputațional, se realizează prin:</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lastRenderedPageBreak/>
        <w:tab/>
      </w:r>
      <w:r w:rsidRPr="00047D89">
        <w:rPr>
          <w:rFonts w:ascii="Times New Roman" w:hAnsi="Times New Roman" w:cs="Times New Roman"/>
          <w:color w:val="000000" w:themeColor="text1"/>
          <w:sz w:val="24"/>
          <w:szCs w:val="24"/>
        </w:rPr>
        <w:t>- Aplicarea corespunzătoare a normelor proprii privind cunoașterea clientelei și a reglementărilor în vigoare referitoare la prevenirea și combaterea spălării banilor;</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Selectarea, printr-o analiză riguroasă a clienților care solicită credite;</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Elaborarea de politici/planuri/măsuri de securitate pentru anumite activități/servicii ale societății;</w:t>
      </w:r>
    </w:p>
    <w:p w:rsidR="00E061A1" w:rsidRPr="00047D89" w:rsidRDefault="00E061A1"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Alte măsuri de administrare a riscului reputațional pe care conducerea Societății le consideră necesare</w:t>
      </w:r>
      <w:r w:rsidR="00180252" w:rsidRPr="00047D89">
        <w:rPr>
          <w:rFonts w:ascii="Times New Roman" w:hAnsi="Times New Roman" w:cs="Times New Roman"/>
          <w:color w:val="000000" w:themeColor="text1"/>
          <w:sz w:val="24"/>
          <w:szCs w:val="24"/>
        </w:rPr>
        <w:t>.</w:t>
      </w:r>
    </w:p>
    <w:p w:rsidR="00180252" w:rsidRPr="00047D89" w:rsidRDefault="001B1D34" w:rsidP="00115F46">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r>
      <w:r w:rsidR="00180252" w:rsidRPr="00047D89">
        <w:rPr>
          <w:rFonts w:ascii="Times New Roman" w:hAnsi="Times New Roman" w:cs="Times New Roman"/>
          <w:b/>
          <w:color w:val="000000" w:themeColor="text1"/>
          <w:sz w:val="24"/>
          <w:szCs w:val="24"/>
        </w:rPr>
        <w:t>3.1.6</w:t>
      </w:r>
      <w:r w:rsidRPr="00047D89">
        <w:rPr>
          <w:rFonts w:ascii="Times New Roman" w:hAnsi="Times New Roman" w:cs="Times New Roman"/>
          <w:b/>
          <w:color w:val="000000" w:themeColor="text1"/>
          <w:sz w:val="24"/>
          <w:szCs w:val="24"/>
        </w:rPr>
        <w:t>.</w:t>
      </w:r>
      <w:r w:rsidR="00180252" w:rsidRPr="00047D89">
        <w:rPr>
          <w:rFonts w:ascii="Times New Roman" w:hAnsi="Times New Roman" w:cs="Times New Roman"/>
          <w:b/>
          <w:color w:val="000000" w:themeColor="text1"/>
          <w:sz w:val="24"/>
          <w:szCs w:val="24"/>
        </w:rPr>
        <w:t xml:space="preserve"> Risc de conformitate </w:t>
      </w:r>
      <w:r w:rsidR="00180252" w:rsidRPr="00047D89">
        <w:rPr>
          <w:rFonts w:ascii="Times New Roman" w:hAnsi="Times New Roman" w:cs="Times New Roman"/>
          <w:color w:val="000000" w:themeColor="text1"/>
          <w:sz w:val="24"/>
          <w:szCs w:val="24"/>
        </w:rPr>
        <w:t>– prezintă o abordare consolidată privind măsurarea riscului de conformitate și propune modalități practice de gestiune a acestuia în contextul obiectivelor strategice privind minimizarea expunerii la risc și a respectării reglementărilor specifice.</w:t>
      </w:r>
    </w:p>
    <w:p w:rsidR="00180252" w:rsidRPr="00047D89" w:rsidRDefault="00180252"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Administrarea riscului de conformitate, presupune:</w:t>
      </w:r>
    </w:p>
    <w:p w:rsidR="00180252" w:rsidRPr="00047D89" w:rsidRDefault="00180252"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Identificarea riscului de conformitate;</w:t>
      </w:r>
    </w:p>
    <w:p w:rsidR="00180252" w:rsidRPr="00047D89" w:rsidRDefault="00180252"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Analiza și prioritizarea categoriilor de risc;</w:t>
      </w:r>
    </w:p>
    <w:p w:rsidR="00180252" w:rsidRPr="00047D89" w:rsidRDefault="00180252"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Modalități de măsurare și cuantificare a riscului: elaborarea unei metodologii de bază;</w:t>
      </w:r>
    </w:p>
    <w:p w:rsidR="001B1D34" w:rsidRPr="00047D89" w:rsidRDefault="00180252" w:rsidP="00115F46">
      <w:pPr>
        <w:jc w:val="both"/>
        <w:rPr>
          <w:rFonts w:ascii="Times New Roman" w:hAnsi="Times New Roman" w:cs="Times New Roman"/>
          <w:b/>
          <w:color w:val="000000" w:themeColor="text1"/>
          <w:sz w:val="24"/>
          <w:szCs w:val="24"/>
        </w:rPr>
      </w:pPr>
      <w:r w:rsidRPr="00047D89">
        <w:rPr>
          <w:rFonts w:ascii="Times New Roman" w:hAnsi="Times New Roman" w:cs="Times New Roman"/>
          <w:color w:val="000000" w:themeColor="text1"/>
          <w:sz w:val="24"/>
          <w:szCs w:val="24"/>
        </w:rPr>
        <w:tab/>
        <w:t>- Gestionarea riscului de conformitate: formalizare, monitorizare, remediere, raportare.</w:t>
      </w:r>
      <w:r w:rsidR="001B1D34" w:rsidRPr="00047D89">
        <w:rPr>
          <w:rFonts w:ascii="Times New Roman" w:hAnsi="Times New Roman" w:cs="Times New Roman"/>
          <w:b/>
          <w:color w:val="000000" w:themeColor="text1"/>
          <w:sz w:val="24"/>
          <w:szCs w:val="24"/>
        </w:rPr>
        <w:t xml:space="preserve"> </w:t>
      </w:r>
    </w:p>
    <w:p w:rsidR="001B1D34" w:rsidRPr="00047D89" w:rsidRDefault="001B1D34" w:rsidP="00115F46">
      <w:pPr>
        <w:jc w:val="both"/>
        <w:rPr>
          <w:rFonts w:ascii="Times New Roman" w:hAnsi="Times New Roman" w:cs="Times New Roman"/>
          <w:color w:val="000000" w:themeColor="text1"/>
          <w:sz w:val="24"/>
          <w:szCs w:val="24"/>
        </w:rPr>
      </w:pPr>
      <w:r w:rsidRPr="00047D89">
        <w:rPr>
          <w:rFonts w:ascii="Times New Roman" w:hAnsi="Times New Roman" w:cs="Times New Roman"/>
          <w:b/>
          <w:color w:val="000000" w:themeColor="text1"/>
          <w:sz w:val="24"/>
          <w:szCs w:val="24"/>
        </w:rPr>
        <w:tab/>
      </w:r>
      <w:r w:rsidR="00180252" w:rsidRPr="00047D89">
        <w:rPr>
          <w:rFonts w:ascii="Times New Roman" w:hAnsi="Times New Roman" w:cs="Times New Roman"/>
          <w:b/>
          <w:color w:val="000000" w:themeColor="text1"/>
          <w:sz w:val="24"/>
          <w:szCs w:val="24"/>
        </w:rPr>
        <w:t>3.1.7</w:t>
      </w:r>
      <w:r w:rsidRPr="00047D89">
        <w:rPr>
          <w:rFonts w:ascii="Times New Roman" w:hAnsi="Times New Roman" w:cs="Times New Roman"/>
          <w:b/>
          <w:color w:val="000000" w:themeColor="text1"/>
          <w:sz w:val="24"/>
          <w:szCs w:val="24"/>
        </w:rPr>
        <w:t xml:space="preserve">. </w:t>
      </w:r>
      <w:r w:rsidR="00180252" w:rsidRPr="00047D89">
        <w:rPr>
          <w:rFonts w:ascii="Times New Roman" w:hAnsi="Times New Roman" w:cs="Times New Roman"/>
          <w:b/>
          <w:color w:val="000000" w:themeColor="text1"/>
          <w:sz w:val="24"/>
          <w:szCs w:val="24"/>
        </w:rPr>
        <w:t xml:space="preserve">Risc de spălare a banilor și finanțării terorismului </w:t>
      </w:r>
      <w:r w:rsidR="00180252" w:rsidRPr="00047D89">
        <w:rPr>
          <w:rFonts w:ascii="Times New Roman" w:hAnsi="Times New Roman" w:cs="Times New Roman"/>
          <w:color w:val="000000" w:themeColor="text1"/>
          <w:sz w:val="24"/>
          <w:szCs w:val="24"/>
        </w:rPr>
        <w:t>– se referă (a) prevenirea și combaterea spălării banilor și a finanțării terorismului, (b) raporturilor contractuale cu persoanele expuse politic, (c) raportarea conform Legii nr. 308 din 22.1</w:t>
      </w:r>
      <w:r w:rsidR="007700DD" w:rsidRPr="00047D89">
        <w:rPr>
          <w:rFonts w:ascii="Times New Roman" w:hAnsi="Times New Roman" w:cs="Times New Roman"/>
          <w:color w:val="000000" w:themeColor="text1"/>
          <w:sz w:val="24"/>
          <w:szCs w:val="24"/>
        </w:rPr>
        <w:t>2.2017.</w:t>
      </w:r>
    </w:p>
    <w:p w:rsidR="00180252" w:rsidRPr="00047D89" w:rsidRDefault="00180252"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Cu referire la riscul de spălare a banilor și finanțării terorismului, Societatea elaborează Regulamente și Politice interne, împreună cu desemnarea persoanei responsabile care asigură:</w:t>
      </w:r>
    </w:p>
    <w:p w:rsidR="00180252" w:rsidRPr="00047D89" w:rsidRDefault="00180252"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xml:space="preserve">- Gestionarea fluxului operațional privind conformarea Societății cu legislația și actele normative care reglementează compartimentul </w:t>
      </w:r>
      <w:r w:rsidR="007700DD" w:rsidRPr="00047D89">
        <w:rPr>
          <w:rFonts w:ascii="Times New Roman" w:hAnsi="Times New Roman" w:cs="Times New Roman"/>
          <w:color w:val="000000" w:themeColor="text1"/>
          <w:sz w:val="24"/>
          <w:szCs w:val="24"/>
        </w:rPr>
        <w:t>dat;</w:t>
      </w:r>
    </w:p>
    <w:p w:rsidR="007700DD" w:rsidRPr="00047D89" w:rsidRDefault="007700DD"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Elaborarea și avizarea actelor normative interne, aferente compartimentului;</w:t>
      </w:r>
    </w:p>
    <w:p w:rsidR="007700DD" w:rsidRPr="00047D89" w:rsidRDefault="007700DD"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Monitorizarea respectării cadrului legal și normelor interne aferente;</w:t>
      </w:r>
    </w:p>
    <w:p w:rsidR="007700DD" w:rsidRPr="00047D89" w:rsidRDefault="007700DD"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Identificarea riscurilor curente și posibile pe viitor;</w:t>
      </w:r>
    </w:p>
    <w:p w:rsidR="007700DD" w:rsidRPr="00047D89" w:rsidRDefault="007700DD"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 Instruirea continuă a angajaților Societății.</w:t>
      </w:r>
    </w:p>
    <w:p w:rsidR="00E52395" w:rsidRPr="00047D89" w:rsidRDefault="00115F46"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3.2.</w:t>
      </w:r>
      <w:r w:rsidRPr="00047D89">
        <w:rPr>
          <w:rFonts w:ascii="Times New Roman" w:hAnsi="Times New Roman" w:cs="Times New Roman"/>
          <w:color w:val="000000" w:themeColor="text1"/>
          <w:sz w:val="24"/>
          <w:szCs w:val="24"/>
        </w:rPr>
        <w:t xml:space="preserve"> Compania nu se limitează la administrarea riscurilor doar de către personalul nemijlocit care face parte din aria de activitate risc, sau nu se bazează exclusiv pe funcțiile de control intern. Toate subdiviziunile structurale interne, în conformitate cu reglementările interne ale Companiei (primare și/sau secundare), indiferent de apartenența la o anumită linie îngustă de activitate, are responsabilitate directă de ad</w:t>
      </w:r>
      <w:r w:rsidR="00E52395" w:rsidRPr="00047D89">
        <w:rPr>
          <w:rFonts w:ascii="Times New Roman" w:hAnsi="Times New Roman" w:cs="Times New Roman"/>
          <w:color w:val="000000" w:themeColor="text1"/>
          <w:sz w:val="24"/>
          <w:szCs w:val="24"/>
        </w:rPr>
        <w:t>ministrare zilnică a riscurilor</w:t>
      </w:r>
      <w:r w:rsidRPr="00047D89">
        <w:rPr>
          <w:rFonts w:ascii="Times New Roman" w:hAnsi="Times New Roman" w:cs="Times New Roman"/>
          <w:color w:val="000000" w:themeColor="text1"/>
          <w:sz w:val="24"/>
          <w:szCs w:val="24"/>
        </w:rPr>
        <w:t xml:space="preserve">. </w:t>
      </w:r>
    </w:p>
    <w:p w:rsidR="00E52395" w:rsidRPr="00047D89" w:rsidRDefault="00E5239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lastRenderedPageBreak/>
        <w:tab/>
      </w:r>
      <w:r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color w:val="000000" w:themeColor="text1"/>
          <w:sz w:val="24"/>
          <w:szCs w:val="24"/>
        </w:rPr>
        <w:t xml:space="preserve"> Cadrul de administrare a riscurilor include politici, proceduri, limite şi controale pentru identificarea, măsurarea sau evaluarea, monitorizarea, diminuarea şi raportarea riscurilor aferente activităţilor Companiei la nivel de structură internă a fiecărei entități structurale şi la nivel de ansamblu al Companiei. Aria de cuprindere a administrării riscurilor se referă cel puțin la riscul de credit, de piaţă, risc de rată al </w:t>
      </w:r>
      <w:r w:rsidR="00047D89" w:rsidRPr="00047D89">
        <w:rPr>
          <w:rFonts w:ascii="Times New Roman" w:hAnsi="Times New Roman" w:cs="Times New Roman"/>
          <w:color w:val="000000" w:themeColor="text1"/>
          <w:sz w:val="24"/>
          <w:szCs w:val="24"/>
        </w:rPr>
        <w:t>dobânzii</w:t>
      </w:r>
      <w:r w:rsidR="00115F46" w:rsidRPr="00047D89">
        <w:rPr>
          <w:rFonts w:ascii="Times New Roman" w:hAnsi="Times New Roman" w:cs="Times New Roman"/>
          <w:color w:val="000000" w:themeColor="text1"/>
          <w:sz w:val="24"/>
          <w:szCs w:val="24"/>
        </w:rPr>
        <w:t xml:space="preserve">, risc valutar, de lichiditate, operaţional, de concentrare, reputaţional, de conformitate şi strategic. Reieșind din genul de activitate principal practicat de Companie pe piața financiară nebancară de creditare, ultima califică riscul de credit ca fiind unul semnificativ, căruia urmează a fi alocat mai multă atenție. </w:t>
      </w:r>
    </w:p>
    <w:p w:rsidR="004E61A0" w:rsidRPr="00047D89" w:rsidRDefault="00E52395"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004E61A0"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b/>
          <w:color w:val="000000" w:themeColor="text1"/>
          <w:sz w:val="24"/>
          <w:szCs w:val="24"/>
        </w:rPr>
        <w:t xml:space="preserve">.4. </w:t>
      </w:r>
      <w:r w:rsidR="00115F46" w:rsidRPr="00047D89">
        <w:rPr>
          <w:rFonts w:ascii="Times New Roman" w:hAnsi="Times New Roman" w:cs="Times New Roman"/>
          <w:color w:val="000000" w:themeColor="text1"/>
          <w:sz w:val="24"/>
          <w:szCs w:val="24"/>
        </w:rPr>
        <w:t xml:space="preserve">În cadrul Companiei </w:t>
      </w:r>
      <w:r w:rsidR="00047D89" w:rsidRPr="00047D89">
        <w:rPr>
          <w:rFonts w:ascii="Times New Roman" w:hAnsi="Times New Roman" w:cs="Times New Roman"/>
          <w:color w:val="000000" w:themeColor="text1"/>
          <w:sz w:val="24"/>
          <w:szCs w:val="24"/>
        </w:rPr>
        <w:t>sunt</w:t>
      </w:r>
      <w:r w:rsidR="00115F46" w:rsidRPr="00047D89">
        <w:rPr>
          <w:rFonts w:ascii="Times New Roman" w:hAnsi="Times New Roman" w:cs="Times New Roman"/>
          <w:color w:val="000000" w:themeColor="text1"/>
          <w:sz w:val="24"/>
          <w:szCs w:val="24"/>
        </w:rPr>
        <w:t xml:space="preserve"> stabilite mecanisme de raportare către organele de conducere a riscurilor identificate și/sau identificabile. Mecanisme de raportare, inclusiv prin intermediul ședințelor comitetelor petrecute regulat, asigură organului de conducere şi structurile interne relevante, rapoarte la timp, precise, concise, inteligibile şi semnificative şi permit efectuarea schimbului de informații relevante privind identificarea, măsurarea sau evaluarea şi monitorizarea riscurilor. </w:t>
      </w:r>
    </w:p>
    <w:p w:rsidR="004E61A0" w:rsidRPr="00047D89" w:rsidRDefault="004E61A0"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b/>
          <w:color w:val="000000" w:themeColor="text1"/>
          <w:sz w:val="24"/>
          <w:szCs w:val="24"/>
        </w:rPr>
        <w:t>.5.</w:t>
      </w:r>
      <w:r w:rsidR="00115F46" w:rsidRPr="00047D89">
        <w:rPr>
          <w:rFonts w:ascii="Times New Roman" w:hAnsi="Times New Roman" w:cs="Times New Roman"/>
          <w:color w:val="000000" w:themeColor="text1"/>
          <w:sz w:val="24"/>
          <w:szCs w:val="24"/>
        </w:rPr>
        <w:t xml:space="preserve"> Funcţia de administrare a riscurilor este implicată în mare parte la aprobarea noilor produse de credit sau la modificarea semnificativă a produselor existente, având o perspectivă clară asupra introducerii noilor produse sau a unor modificări semnificative ale produselor existente. </w:t>
      </w:r>
    </w:p>
    <w:p w:rsidR="004E61A0" w:rsidRPr="00047D89" w:rsidRDefault="004E61A0"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b/>
          <w:color w:val="000000" w:themeColor="text1"/>
          <w:sz w:val="24"/>
          <w:szCs w:val="24"/>
        </w:rPr>
        <w:t>.6.</w:t>
      </w:r>
      <w:r w:rsidR="00115F46" w:rsidRPr="00047D89">
        <w:rPr>
          <w:rFonts w:ascii="Times New Roman" w:hAnsi="Times New Roman" w:cs="Times New Roman"/>
          <w:color w:val="000000" w:themeColor="text1"/>
          <w:sz w:val="24"/>
          <w:szCs w:val="24"/>
        </w:rPr>
        <w:t xml:space="preserve"> Controlul intern reprezintă un sistem care asigură desfășurarea unor operațiuni eficace și eficiente, controlul adecvat al riscurilor, desfășurarea prudentă a activității, credibilitatea informațiilor financiare și nefinanciare raportate, precum și conformitatea cu cadrul legal și de reglementare, cerințele de supraveghere și reglementările interne ale Companiei. </w:t>
      </w:r>
    </w:p>
    <w:p w:rsidR="004E61A0" w:rsidRPr="00047D89" w:rsidRDefault="004E61A0"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b/>
          <w:color w:val="000000" w:themeColor="text1"/>
          <w:sz w:val="24"/>
          <w:szCs w:val="24"/>
        </w:rPr>
        <w:t>.7.</w:t>
      </w:r>
      <w:r w:rsidR="00115F46" w:rsidRPr="00047D89">
        <w:rPr>
          <w:rFonts w:ascii="Times New Roman" w:hAnsi="Times New Roman" w:cs="Times New Roman"/>
          <w:color w:val="000000" w:themeColor="text1"/>
          <w:sz w:val="24"/>
          <w:szCs w:val="24"/>
        </w:rPr>
        <w:t xml:space="preserve"> Compania dispune de propriul mecanism de control intern în corespundere cu cadrul legal, actele normative subordonate legii şi practica general acceptată în acest domeniu, pentru asigurarea gestionării eficiente a activităților practicate, desfășurate într-un mod sigur și prudent, în conformitate cu prevederile legislației în vigoare. </w:t>
      </w:r>
    </w:p>
    <w:p w:rsidR="007345D6" w:rsidRPr="00047D89" w:rsidRDefault="004E61A0"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hAnsi="Times New Roman" w:cs="Times New Roman"/>
          <w:b/>
          <w:color w:val="000000" w:themeColor="text1"/>
          <w:sz w:val="24"/>
          <w:szCs w:val="24"/>
        </w:rPr>
        <w:t>3</w:t>
      </w:r>
      <w:r w:rsidR="00115F46" w:rsidRPr="00047D89">
        <w:rPr>
          <w:rFonts w:ascii="Times New Roman" w:hAnsi="Times New Roman" w:cs="Times New Roman"/>
          <w:b/>
          <w:color w:val="000000" w:themeColor="text1"/>
          <w:sz w:val="24"/>
          <w:szCs w:val="24"/>
        </w:rPr>
        <w:t>.8.</w:t>
      </w:r>
      <w:r w:rsidR="00115F46" w:rsidRPr="00047D89">
        <w:rPr>
          <w:rFonts w:ascii="Times New Roman" w:hAnsi="Times New Roman" w:cs="Times New Roman"/>
          <w:color w:val="000000" w:themeColor="text1"/>
          <w:sz w:val="24"/>
          <w:szCs w:val="24"/>
        </w:rPr>
        <w:t xml:space="preserve"> La elaborarea, organizarea și implementarea mecanismului de control intern, Compania ține cont de volumul, numărul, tipul și diversitatea tranzacțiilor, de gradul de risc asociat cu fiecare domeniu de activitate, volumul controlului din partea organelor de conducere asupra activității zilnice, gradul de centralizare și/sau descentralizare a Companiei, gradul de utilizare a sistemului informațional.</w:t>
      </w:r>
    </w:p>
    <w:p w:rsidR="004E61A0" w:rsidRPr="00047D89" w:rsidRDefault="004E61A0" w:rsidP="004E61A0">
      <w:pPr>
        <w:jc w:val="center"/>
        <w:rPr>
          <w:rFonts w:ascii="Times New Roman" w:eastAsia="Times New Roman" w:hAnsi="Times New Roman" w:cs="Times New Roman"/>
          <w:bCs/>
          <w:color w:val="000000" w:themeColor="text1"/>
          <w:sz w:val="24"/>
          <w:szCs w:val="24"/>
        </w:rPr>
      </w:pPr>
      <w:r w:rsidRPr="00047D89">
        <w:rPr>
          <w:rFonts w:ascii="Times New Roman" w:hAnsi="Times New Roman" w:cs="Times New Roman"/>
          <w:color w:val="000000" w:themeColor="text1"/>
          <w:sz w:val="24"/>
          <w:szCs w:val="24"/>
        </w:rPr>
        <w:tab/>
      </w:r>
      <w:r w:rsidRPr="00047D89">
        <w:rPr>
          <w:rFonts w:ascii="Times New Roman" w:eastAsia="Times New Roman" w:hAnsi="Times New Roman" w:cs="Times New Roman"/>
          <w:b/>
          <w:bCs/>
          <w:color w:val="000000" w:themeColor="text1"/>
          <w:sz w:val="24"/>
          <w:szCs w:val="24"/>
        </w:rPr>
        <w:t>Capitolul IV. Sisteme informaționale și continuitatea activităților</w:t>
      </w:r>
    </w:p>
    <w:p w:rsidR="004E61A0" w:rsidRPr="00047D89" w:rsidRDefault="004E61A0" w:rsidP="004E61A0">
      <w:pPr>
        <w:jc w:val="both"/>
        <w:rPr>
          <w:rFonts w:ascii="Times New Roman" w:eastAsia="Times New Roman" w:hAnsi="Times New Roman" w:cs="Times New Roman"/>
          <w:bCs/>
          <w:color w:val="000000" w:themeColor="text1"/>
          <w:sz w:val="24"/>
          <w:szCs w:val="24"/>
        </w:rPr>
      </w:pPr>
      <w:r w:rsidRPr="00047D89">
        <w:rPr>
          <w:rFonts w:ascii="Times New Roman" w:eastAsia="Times New Roman" w:hAnsi="Times New Roman" w:cs="Times New Roman"/>
          <w:bCs/>
          <w:color w:val="000000" w:themeColor="text1"/>
          <w:sz w:val="24"/>
          <w:szCs w:val="24"/>
        </w:rPr>
        <w:tab/>
      </w:r>
      <w:r w:rsidRPr="00047D89">
        <w:rPr>
          <w:rFonts w:ascii="Times New Roman" w:eastAsia="Times New Roman" w:hAnsi="Times New Roman" w:cs="Times New Roman"/>
          <w:b/>
          <w:bCs/>
          <w:color w:val="000000" w:themeColor="text1"/>
          <w:sz w:val="24"/>
          <w:szCs w:val="24"/>
        </w:rPr>
        <w:t>4.1.</w:t>
      </w:r>
      <w:r w:rsidRPr="00047D89">
        <w:rPr>
          <w:rFonts w:ascii="Times New Roman" w:eastAsia="Times New Roman" w:hAnsi="Times New Roman" w:cs="Times New Roman"/>
          <w:bCs/>
          <w:color w:val="000000" w:themeColor="text1"/>
          <w:sz w:val="24"/>
          <w:szCs w:val="24"/>
        </w:rPr>
        <w:t xml:space="preserve"> Compania dispune de sisteme informaționale și de comunicare eficace care acoperă ansamblul activităților sale semnificative. Sistemele informaționale, inclusiv acelea care păstrează și utilizează date în format electronic, trebuie să fie sigure, monitorizate independent și susținute de planuri corespunzătoare pentru situații neprevăzute. Implementarea sistemelor informatice se conformează cu standardele informatice general acceptate.</w:t>
      </w:r>
    </w:p>
    <w:p w:rsidR="004E61A0" w:rsidRPr="00047D89" w:rsidRDefault="004E61A0" w:rsidP="004E61A0">
      <w:pPr>
        <w:jc w:val="both"/>
        <w:rPr>
          <w:rFonts w:ascii="Times New Roman" w:eastAsia="Times New Roman" w:hAnsi="Times New Roman" w:cs="Times New Roman"/>
          <w:bCs/>
          <w:color w:val="000000" w:themeColor="text1"/>
          <w:sz w:val="24"/>
          <w:szCs w:val="24"/>
        </w:rPr>
      </w:pPr>
      <w:r w:rsidRPr="00047D89">
        <w:rPr>
          <w:rFonts w:ascii="Times New Roman" w:eastAsia="Times New Roman" w:hAnsi="Times New Roman" w:cs="Times New Roman"/>
          <w:bCs/>
          <w:color w:val="000000" w:themeColor="text1"/>
          <w:sz w:val="24"/>
          <w:szCs w:val="24"/>
        </w:rPr>
        <w:lastRenderedPageBreak/>
        <w:tab/>
      </w:r>
      <w:r w:rsidRPr="00047D89">
        <w:rPr>
          <w:rFonts w:ascii="Times New Roman" w:eastAsia="Times New Roman" w:hAnsi="Times New Roman" w:cs="Times New Roman"/>
          <w:b/>
          <w:bCs/>
          <w:color w:val="000000" w:themeColor="text1"/>
          <w:sz w:val="24"/>
          <w:szCs w:val="24"/>
        </w:rPr>
        <w:t>4.2.</w:t>
      </w:r>
      <w:r w:rsidRPr="00047D89">
        <w:rPr>
          <w:rFonts w:ascii="Times New Roman" w:eastAsia="Times New Roman" w:hAnsi="Times New Roman" w:cs="Times New Roman"/>
          <w:bCs/>
          <w:color w:val="000000" w:themeColor="text1"/>
          <w:sz w:val="24"/>
          <w:szCs w:val="24"/>
        </w:rPr>
        <w:t xml:space="preserve"> Compania stabilește un proces solid de administrare a continuității activității pentru a-și asigura capacitatea de a funcționa în mod continuu și pentru a limita pierderile în cazul unei întreruperi severe a activității.</w:t>
      </w:r>
    </w:p>
    <w:p w:rsidR="004E61A0" w:rsidRPr="00047D89" w:rsidRDefault="004E61A0" w:rsidP="004E61A0">
      <w:pPr>
        <w:jc w:val="both"/>
        <w:rPr>
          <w:rFonts w:ascii="Times New Roman" w:eastAsia="Times New Roman" w:hAnsi="Times New Roman" w:cs="Times New Roman"/>
          <w:bCs/>
          <w:color w:val="000000" w:themeColor="text1"/>
          <w:sz w:val="24"/>
          <w:szCs w:val="24"/>
        </w:rPr>
      </w:pPr>
      <w:r w:rsidRPr="00047D89">
        <w:rPr>
          <w:rFonts w:ascii="Times New Roman" w:eastAsia="Times New Roman" w:hAnsi="Times New Roman" w:cs="Times New Roman"/>
          <w:bCs/>
          <w:color w:val="000000" w:themeColor="text1"/>
          <w:sz w:val="24"/>
          <w:szCs w:val="24"/>
        </w:rPr>
        <w:tab/>
      </w:r>
      <w:r w:rsidRPr="00047D89">
        <w:rPr>
          <w:rFonts w:ascii="Times New Roman" w:eastAsia="Times New Roman" w:hAnsi="Times New Roman" w:cs="Times New Roman"/>
          <w:b/>
          <w:bCs/>
          <w:color w:val="000000" w:themeColor="text1"/>
          <w:sz w:val="24"/>
          <w:szCs w:val="24"/>
        </w:rPr>
        <w:t>4.3.</w:t>
      </w:r>
      <w:r w:rsidRPr="00047D89">
        <w:rPr>
          <w:rFonts w:ascii="Times New Roman" w:eastAsia="Times New Roman" w:hAnsi="Times New Roman" w:cs="Times New Roman"/>
          <w:bCs/>
          <w:color w:val="000000" w:themeColor="text1"/>
          <w:sz w:val="24"/>
          <w:szCs w:val="24"/>
        </w:rPr>
        <w:t xml:space="preserve"> Compania analizează expunerea sa la întreruperi severe ale activităţii, evaluează, cantitativ şi calitativ, potenţialul impact al acestora, prin folosirea unor date interne şi/sau externe şi a unor analize de tip testare la stres și stabilește: </w:t>
      </w:r>
    </w:p>
    <w:p w:rsidR="004E61A0" w:rsidRPr="00047D89" w:rsidRDefault="004E61A0" w:rsidP="004E61A0">
      <w:pPr>
        <w:jc w:val="both"/>
        <w:rPr>
          <w:rFonts w:ascii="Times New Roman" w:eastAsia="Times New Roman" w:hAnsi="Times New Roman" w:cs="Times New Roman"/>
          <w:bCs/>
          <w:color w:val="000000" w:themeColor="text1"/>
          <w:sz w:val="24"/>
          <w:szCs w:val="24"/>
        </w:rPr>
      </w:pPr>
      <w:r w:rsidRPr="00047D89">
        <w:rPr>
          <w:rFonts w:ascii="Times New Roman" w:eastAsia="Times New Roman" w:hAnsi="Times New Roman" w:cs="Times New Roman"/>
          <w:bCs/>
          <w:color w:val="000000" w:themeColor="text1"/>
          <w:sz w:val="24"/>
          <w:szCs w:val="24"/>
        </w:rPr>
        <w:tab/>
        <w:t>a) planuri pentru situaţii neprevăzute şi de continuitate a activităţii pentru a se asigura că reacţionează în mod corespunzător la situaţii de urgenţă şi este capabilă să îşi menţină cele mai importante activităţi dacă există o întrerupere la procedurile normale de desfăşurare a activităţii;</w:t>
      </w:r>
    </w:p>
    <w:p w:rsidR="004E61A0" w:rsidRPr="00047D89" w:rsidRDefault="004E61A0" w:rsidP="004E61A0">
      <w:pPr>
        <w:jc w:val="both"/>
        <w:rPr>
          <w:rFonts w:ascii="Times New Roman" w:eastAsia="Times New Roman" w:hAnsi="Times New Roman" w:cs="Times New Roman"/>
          <w:bCs/>
          <w:color w:val="000000" w:themeColor="text1"/>
          <w:sz w:val="24"/>
          <w:szCs w:val="24"/>
        </w:rPr>
      </w:pPr>
      <w:r w:rsidRPr="00047D89">
        <w:rPr>
          <w:rFonts w:ascii="Times New Roman" w:eastAsia="Times New Roman" w:hAnsi="Times New Roman" w:cs="Times New Roman"/>
          <w:bCs/>
          <w:color w:val="000000" w:themeColor="text1"/>
          <w:sz w:val="24"/>
          <w:szCs w:val="24"/>
        </w:rPr>
        <w:tab/>
        <w:t>b) planuri de redresare pentru resursele critice pentru a-i permite să revină la procedurile normale de desfăşurare a activităţii într-o perioadă de timp corespunzătoare. Orice risc rezidual din eventuale întreruperi ale activităţii trebuie să fie conform apetitului la risc al Companiei.</w:t>
      </w:r>
    </w:p>
    <w:p w:rsidR="004E61A0" w:rsidRPr="00047D89" w:rsidRDefault="004F1787" w:rsidP="004E61A0">
      <w:pPr>
        <w:jc w:val="center"/>
        <w:rPr>
          <w:rFonts w:ascii="Times New Roman" w:hAnsi="Times New Roman" w:cs="Times New Roman"/>
          <w:b/>
          <w:color w:val="000000" w:themeColor="text1"/>
          <w:sz w:val="24"/>
          <w:szCs w:val="24"/>
        </w:rPr>
      </w:pPr>
      <w:r w:rsidRPr="00047D89">
        <w:rPr>
          <w:rFonts w:ascii="Times New Roman" w:hAnsi="Times New Roman" w:cs="Times New Roman"/>
          <w:b/>
          <w:color w:val="000000" w:themeColor="text1"/>
          <w:sz w:val="24"/>
          <w:szCs w:val="24"/>
        </w:rPr>
        <w:t xml:space="preserve">Capitolul </w:t>
      </w:r>
      <w:r w:rsidR="004E61A0" w:rsidRPr="00047D89">
        <w:rPr>
          <w:rFonts w:ascii="Times New Roman" w:hAnsi="Times New Roman" w:cs="Times New Roman"/>
          <w:b/>
          <w:color w:val="000000" w:themeColor="text1"/>
          <w:sz w:val="24"/>
          <w:szCs w:val="24"/>
        </w:rPr>
        <w:t>V. Dispoziții finale</w:t>
      </w:r>
    </w:p>
    <w:p w:rsidR="004F1787" w:rsidRPr="00047D89" w:rsidRDefault="004F1787"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5</w:t>
      </w:r>
      <w:r w:rsidR="004E61A0" w:rsidRPr="00047D89">
        <w:rPr>
          <w:rFonts w:ascii="Times New Roman" w:hAnsi="Times New Roman" w:cs="Times New Roman"/>
          <w:color w:val="000000" w:themeColor="text1"/>
          <w:sz w:val="24"/>
          <w:szCs w:val="24"/>
        </w:rPr>
        <w:t xml:space="preserve">.1. Prezentul Regulament intră în vigoare din data aprobării lui de către </w:t>
      </w:r>
      <w:r w:rsidR="00125E0E" w:rsidRPr="00047D89">
        <w:rPr>
          <w:rFonts w:ascii="Times New Roman" w:hAnsi="Times New Roman" w:cs="Times New Roman"/>
          <w:color w:val="000000" w:themeColor="text1"/>
          <w:sz w:val="24"/>
          <w:szCs w:val="24"/>
        </w:rPr>
        <w:t>Administrator.</w:t>
      </w:r>
    </w:p>
    <w:p w:rsidR="004E61A0" w:rsidRPr="00047D89" w:rsidRDefault="004F1787" w:rsidP="00115F46">
      <w:pPr>
        <w:jc w:val="both"/>
        <w:rPr>
          <w:rFonts w:ascii="Times New Roman" w:hAnsi="Times New Roman" w:cs="Times New Roman"/>
          <w:color w:val="000000" w:themeColor="text1"/>
          <w:sz w:val="24"/>
          <w:szCs w:val="24"/>
        </w:rPr>
      </w:pPr>
      <w:r w:rsidRPr="00047D89">
        <w:rPr>
          <w:rFonts w:ascii="Times New Roman" w:hAnsi="Times New Roman" w:cs="Times New Roman"/>
          <w:color w:val="000000" w:themeColor="text1"/>
          <w:sz w:val="24"/>
          <w:szCs w:val="24"/>
        </w:rPr>
        <w:tab/>
        <w:t>5</w:t>
      </w:r>
      <w:r w:rsidR="004E61A0" w:rsidRPr="00047D89">
        <w:rPr>
          <w:rFonts w:ascii="Times New Roman" w:hAnsi="Times New Roman" w:cs="Times New Roman"/>
          <w:color w:val="000000" w:themeColor="text1"/>
          <w:sz w:val="24"/>
          <w:szCs w:val="24"/>
        </w:rPr>
        <w:t>.2. Prezentul Regulament va fi adus la cunoștința angajaților responsabili (responsabili – managerii subdiviziunilor interne ale Companiei).</w:t>
      </w:r>
    </w:p>
    <w:sectPr w:rsidR="004E61A0" w:rsidRPr="00047D89" w:rsidSect="00B93814">
      <w:footerReference w:type="default" r:id="rId7"/>
      <w:pgSz w:w="12240" w:h="15840" w:code="1"/>
      <w:pgMar w:top="1138"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92A" w:rsidRDefault="00C7192A" w:rsidP="00F35A71">
      <w:pPr>
        <w:spacing w:after="0" w:line="240" w:lineRule="auto"/>
      </w:pPr>
      <w:r>
        <w:separator/>
      </w:r>
    </w:p>
  </w:endnote>
  <w:endnote w:type="continuationSeparator" w:id="0">
    <w:p w:rsidR="00C7192A" w:rsidRDefault="00C7192A" w:rsidP="00F3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6156"/>
      <w:docPartObj>
        <w:docPartGallery w:val="Page Numbers (Bottom of Page)"/>
        <w:docPartUnique/>
      </w:docPartObj>
    </w:sdtPr>
    <w:sdtEndPr/>
    <w:sdtContent>
      <w:p w:rsidR="00355DBE" w:rsidRDefault="004F0910">
        <w:pPr>
          <w:pStyle w:val="a6"/>
          <w:jc w:val="right"/>
        </w:pPr>
        <w:r>
          <w:fldChar w:fldCharType="begin"/>
        </w:r>
        <w:r>
          <w:instrText xml:space="preserve"> PAGE   \* MERGEFORMAT </w:instrText>
        </w:r>
        <w:r>
          <w:fldChar w:fldCharType="separate"/>
        </w:r>
        <w:r w:rsidR="00047D89">
          <w:rPr>
            <w:noProof/>
          </w:rPr>
          <w:t>10</w:t>
        </w:r>
        <w:r>
          <w:rPr>
            <w:noProof/>
          </w:rPr>
          <w:fldChar w:fldCharType="end"/>
        </w:r>
      </w:p>
    </w:sdtContent>
  </w:sdt>
  <w:p w:rsidR="00355DBE" w:rsidRDefault="00355DB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92A" w:rsidRDefault="00C7192A" w:rsidP="00F35A71">
      <w:pPr>
        <w:spacing w:after="0" w:line="240" w:lineRule="auto"/>
      </w:pPr>
      <w:r>
        <w:separator/>
      </w:r>
    </w:p>
  </w:footnote>
  <w:footnote w:type="continuationSeparator" w:id="0">
    <w:p w:rsidR="00C7192A" w:rsidRDefault="00C7192A" w:rsidP="00F35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2E254CD"/>
    <w:multiLevelType w:val="hybridMultilevel"/>
    <w:tmpl w:val="C8642D4E"/>
    <w:lvl w:ilvl="0" w:tplc="6A141126">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EE5635"/>
    <w:multiLevelType w:val="hybridMultilevel"/>
    <w:tmpl w:val="9AEE10A2"/>
    <w:lvl w:ilvl="0" w:tplc="ABB60B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F2491"/>
    <w:multiLevelType w:val="hybridMultilevel"/>
    <w:tmpl w:val="7EB2F0D0"/>
    <w:lvl w:ilvl="0" w:tplc="A01E0F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3C2759"/>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513B"/>
    <w:multiLevelType w:val="hybridMultilevel"/>
    <w:tmpl w:val="E8525814"/>
    <w:lvl w:ilvl="0" w:tplc="727A1F36">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8E4B23"/>
    <w:multiLevelType w:val="hybridMultilevel"/>
    <w:tmpl w:val="6DB06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943B4"/>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20CF5"/>
    <w:multiLevelType w:val="hybridMultilevel"/>
    <w:tmpl w:val="A0D21AB0"/>
    <w:lvl w:ilvl="0" w:tplc="37D085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F49A0"/>
    <w:multiLevelType w:val="hybridMultilevel"/>
    <w:tmpl w:val="EB50EAB2"/>
    <w:lvl w:ilvl="0" w:tplc="07CEA2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F0651"/>
    <w:multiLevelType w:val="hybridMultilevel"/>
    <w:tmpl w:val="E7E83DFC"/>
    <w:lvl w:ilvl="0" w:tplc="94D089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34710"/>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65E6C"/>
    <w:multiLevelType w:val="hybridMultilevel"/>
    <w:tmpl w:val="F8326314"/>
    <w:lvl w:ilvl="0" w:tplc="B4DAAF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957C8"/>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40DE9"/>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00825"/>
    <w:multiLevelType w:val="hybridMultilevel"/>
    <w:tmpl w:val="284C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5A1"/>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F4714"/>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52126"/>
    <w:multiLevelType w:val="hybridMultilevel"/>
    <w:tmpl w:val="3E3A8BB2"/>
    <w:lvl w:ilvl="0" w:tplc="AC92F1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5D426A"/>
    <w:multiLevelType w:val="hybridMultilevel"/>
    <w:tmpl w:val="5AC6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E0653"/>
    <w:multiLevelType w:val="hybridMultilevel"/>
    <w:tmpl w:val="8FEA71FA"/>
    <w:lvl w:ilvl="0" w:tplc="9B56A7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03700"/>
    <w:multiLevelType w:val="hybridMultilevel"/>
    <w:tmpl w:val="4D84267E"/>
    <w:lvl w:ilvl="0" w:tplc="C3228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500B7"/>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35803"/>
    <w:multiLevelType w:val="hybridMultilevel"/>
    <w:tmpl w:val="66F68AFA"/>
    <w:lvl w:ilvl="0" w:tplc="105032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033D8"/>
    <w:multiLevelType w:val="hybridMultilevel"/>
    <w:tmpl w:val="3E3A8BB2"/>
    <w:lvl w:ilvl="0" w:tplc="AC92F1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C5F04"/>
    <w:multiLevelType w:val="hybridMultilevel"/>
    <w:tmpl w:val="7638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93609"/>
    <w:multiLevelType w:val="hybridMultilevel"/>
    <w:tmpl w:val="70F27C46"/>
    <w:lvl w:ilvl="0" w:tplc="08DE6674">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F70515F"/>
    <w:multiLevelType w:val="hybridMultilevel"/>
    <w:tmpl w:val="AA484016"/>
    <w:lvl w:ilvl="0" w:tplc="EAFC8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19"/>
  </w:num>
  <w:num w:numId="4">
    <w:abstractNumId w:val="6"/>
  </w:num>
  <w:num w:numId="5">
    <w:abstractNumId w:val="15"/>
  </w:num>
  <w:num w:numId="6">
    <w:abstractNumId w:val="11"/>
  </w:num>
  <w:num w:numId="7">
    <w:abstractNumId w:val="4"/>
  </w:num>
  <w:num w:numId="8">
    <w:abstractNumId w:val="17"/>
  </w:num>
  <w:num w:numId="9">
    <w:abstractNumId w:val="27"/>
  </w:num>
  <w:num w:numId="10">
    <w:abstractNumId w:val="13"/>
  </w:num>
  <w:num w:numId="11">
    <w:abstractNumId w:val="14"/>
  </w:num>
  <w:num w:numId="12">
    <w:abstractNumId w:val="22"/>
  </w:num>
  <w:num w:numId="13">
    <w:abstractNumId w:val="16"/>
  </w:num>
  <w:num w:numId="14">
    <w:abstractNumId w:val="7"/>
  </w:num>
  <w:num w:numId="15">
    <w:abstractNumId w:val="0"/>
  </w:num>
  <w:num w:numId="16">
    <w:abstractNumId w:val="9"/>
  </w:num>
  <w:num w:numId="17">
    <w:abstractNumId w:val="24"/>
  </w:num>
  <w:num w:numId="18">
    <w:abstractNumId w:val="12"/>
  </w:num>
  <w:num w:numId="19">
    <w:abstractNumId w:val="2"/>
  </w:num>
  <w:num w:numId="20">
    <w:abstractNumId w:val="1"/>
  </w:num>
  <w:num w:numId="21">
    <w:abstractNumId w:val="3"/>
  </w:num>
  <w:num w:numId="22">
    <w:abstractNumId w:val="18"/>
  </w:num>
  <w:num w:numId="23">
    <w:abstractNumId w:val="5"/>
  </w:num>
  <w:num w:numId="24">
    <w:abstractNumId w:val="20"/>
  </w:num>
  <w:num w:numId="25">
    <w:abstractNumId w:val="26"/>
  </w:num>
  <w:num w:numId="26">
    <w:abstractNumId w:val="8"/>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6D35"/>
    <w:rsid w:val="00011E1C"/>
    <w:rsid w:val="00024A17"/>
    <w:rsid w:val="00037AD7"/>
    <w:rsid w:val="00044691"/>
    <w:rsid w:val="00045C4C"/>
    <w:rsid w:val="00047D89"/>
    <w:rsid w:val="0005180C"/>
    <w:rsid w:val="000627FA"/>
    <w:rsid w:val="00071CC0"/>
    <w:rsid w:val="00084E14"/>
    <w:rsid w:val="000A6C83"/>
    <w:rsid w:val="000A76D0"/>
    <w:rsid w:val="000B326B"/>
    <w:rsid w:val="000C3EB2"/>
    <w:rsid w:val="000D0CFB"/>
    <w:rsid w:val="000D2253"/>
    <w:rsid w:val="000F6D2A"/>
    <w:rsid w:val="00115F46"/>
    <w:rsid w:val="00125E0E"/>
    <w:rsid w:val="00180252"/>
    <w:rsid w:val="00194F53"/>
    <w:rsid w:val="001A26D2"/>
    <w:rsid w:val="001B1D34"/>
    <w:rsid w:val="001B4D8B"/>
    <w:rsid w:val="001C429D"/>
    <w:rsid w:val="001C5199"/>
    <w:rsid w:val="001D35E3"/>
    <w:rsid w:val="001F19A6"/>
    <w:rsid w:val="00215A11"/>
    <w:rsid w:val="002563F1"/>
    <w:rsid w:val="002621F8"/>
    <w:rsid w:val="00266E38"/>
    <w:rsid w:val="00274FBE"/>
    <w:rsid w:val="002D527A"/>
    <w:rsid w:val="002E0DF1"/>
    <w:rsid w:val="002F5DA5"/>
    <w:rsid w:val="00312245"/>
    <w:rsid w:val="0033264C"/>
    <w:rsid w:val="00355DBE"/>
    <w:rsid w:val="00371BFA"/>
    <w:rsid w:val="00377C19"/>
    <w:rsid w:val="00382CAF"/>
    <w:rsid w:val="003A2556"/>
    <w:rsid w:val="003A3AD8"/>
    <w:rsid w:val="003C428A"/>
    <w:rsid w:val="003F7804"/>
    <w:rsid w:val="00406FDB"/>
    <w:rsid w:val="004129A6"/>
    <w:rsid w:val="0043434F"/>
    <w:rsid w:val="00471D66"/>
    <w:rsid w:val="00472E5E"/>
    <w:rsid w:val="00480CD0"/>
    <w:rsid w:val="004B6400"/>
    <w:rsid w:val="004C3ACA"/>
    <w:rsid w:val="004D2F6B"/>
    <w:rsid w:val="004E61A0"/>
    <w:rsid w:val="004F0910"/>
    <w:rsid w:val="004F1787"/>
    <w:rsid w:val="00504505"/>
    <w:rsid w:val="00532560"/>
    <w:rsid w:val="005325D7"/>
    <w:rsid w:val="005913BB"/>
    <w:rsid w:val="0059735F"/>
    <w:rsid w:val="005C1528"/>
    <w:rsid w:val="005E0B0B"/>
    <w:rsid w:val="005F338D"/>
    <w:rsid w:val="006556C0"/>
    <w:rsid w:val="0068182E"/>
    <w:rsid w:val="006A0EF8"/>
    <w:rsid w:val="006C0794"/>
    <w:rsid w:val="006D1C02"/>
    <w:rsid w:val="006E6AF9"/>
    <w:rsid w:val="006F090C"/>
    <w:rsid w:val="006F4D80"/>
    <w:rsid w:val="006F5C5A"/>
    <w:rsid w:val="00715D16"/>
    <w:rsid w:val="0072776F"/>
    <w:rsid w:val="00731487"/>
    <w:rsid w:val="007345D6"/>
    <w:rsid w:val="007352C5"/>
    <w:rsid w:val="00751EB9"/>
    <w:rsid w:val="007700DD"/>
    <w:rsid w:val="00774CB7"/>
    <w:rsid w:val="0079305B"/>
    <w:rsid w:val="007A709D"/>
    <w:rsid w:val="007E4823"/>
    <w:rsid w:val="00817CCD"/>
    <w:rsid w:val="00821834"/>
    <w:rsid w:val="00832E01"/>
    <w:rsid w:val="00833855"/>
    <w:rsid w:val="00842AF9"/>
    <w:rsid w:val="00847748"/>
    <w:rsid w:val="00890439"/>
    <w:rsid w:val="008A0B1D"/>
    <w:rsid w:val="008A7A1D"/>
    <w:rsid w:val="008D5110"/>
    <w:rsid w:val="008F5504"/>
    <w:rsid w:val="009203E4"/>
    <w:rsid w:val="0092690D"/>
    <w:rsid w:val="009344FB"/>
    <w:rsid w:val="009556F9"/>
    <w:rsid w:val="0096567F"/>
    <w:rsid w:val="00967EC6"/>
    <w:rsid w:val="0097216F"/>
    <w:rsid w:val="0097649F"/>
    <w:rsid w:val="00984482"/>
    <w:rsid w:val="00994D27"/>
    <w:rsid w:val="009962A1"/>
    <w:rsid w:val="009B70CC"/>
    <w:rsid w:val="009D1335"/>
    <w:rsid w:val="009E20D0"/>
    <w:rsid w:val="00A23BAC"/>
    <w:rsid w:val="00A33F5B"/>
    <w:rsid w:val="00A35836"/>
    <w:rsid w:val="00A35A62"/>
    <w:rsid w:val="00A7559F"/>
    <w:rsid w:val="00A85EF4"/>
    <w:rsid w:val="00AA0F09"/>
    <w:rsid w:val="00AB0D5D"/>
    <w:rsid w:val="00AC0653"/>
    <w:rsid w:val="00AC77B9"/>
    <w:rsid w:val="00AD204B"/>
    <w:rsid w:val="00AD4020"/>
    <w:rsid w:val="00AE117E"/>
    <w:rsid w:val="00AE35EF"/>
    <w:rsid w:val="00AE49FF"/>
    <w:rsid w:val="00B00085"/>
    <w:rsid w:val="00B00517"/>
    <w:rsid w:val="00B0478C"/>
    <w:rsid w:val="00B05C4B"/>
    <w:rsid w:val="00B13FCD"/>
    <w:rsid w:val="00B3475B"/>
    <w:rsid w:val="00B7357D"/>
    <w:rsid w:val="00B76126"/>
    <w:rsid w:val="00B93814"/>
    <w:rsid w:val="00B9632B"/>
    <w:rsid w:val="00BA7DE0"/>
    <w:rsid w:val="00BC0F06"/>
    <w:rsid w:val="00BE0F52"/>
    <w:rsid w:val="00BE6990"/>
    <w:rsid w:val="00BF3239"/>
    <w:rsid w:val="00C145BB"/>
    <w:rsid w:val="00C243F6"/>
    <w:rsid w:val="00C7192A"/>
    <w:rsid w:val="00C83F63"/>
    <w:rsid w:val="00C86EBE"/>
    <w:rsid w:val="00CA2052"/>
    <w:rsid w:val="00CC10EF"/>
    <w:rsid w:val="00CD435D"/>
    <w:rsid w:val="00CE1B14"/>
    <w:rsid w:val="00D10668"/>
    <w:rsid w:val="00D14405"/>
    <w:rsid w:val="00D301DF"/>
    <w:rsid w:val="00D3177E"/>
    <w:rsid w:val="00D40B7C"/>
    <w:rsid w:val="00D41C32"/>
    <w:rsid w:val="00D65596"/>
    <w:rsid w:val="00D907A1"/>
    <w:rsid w:val="00D953A8"/>
    <w:rsid w:val="00DC1743"/>
    <w:rsid w:val="00DD197F"/>
    <w:rsid w:val="00E061A1"/>
    <w:rsid w:val="00E079DE"/>
    <w:rsid w:val="00E232B8"/>
    <w:rsid w:val="00E301A0"/>
    <w:rsid w:val="00E30E0D"/>
    <w:rsid w:val="00E319EE"/>
    <w:rsid w:val="00E337B0"/>
    <w:rsid w:val="00E401F7"/>
    <w:rsid w:val="00E52395"/>
    <w:rsid w:val="00E709DD"/>
    <w:rsid w:val="00E72497"/>
    <w:rsid w:val="00E82EB0"/>
    <w:rsid w:val="00E84059"/>
    <w:rsid w:val="00E84B88"/>
    <w:rsid w:val="00E911BA"/>
    <w:rsid w:val="00EC40F0"/>
    <w:rsid w:val="00EF23AE"/>
    <w:rsid w:val="00EF4917"/>
    <w:rsid w:val="00EF5DFB"/>
    <w:rsid w:val="00F15B2D"/>
    <w:rsid w:val="00F306F0"/>
    <w:rsid w:val="00F35A71"/>
    <w:rsid w:val="00F4050E"/>
    <w:rsid w:val="00F5279C"/>
    <w:rsid w:val="00F6169A"/>
    <w:rsid w:val="00F668B7"/>
    <w:rsid w:val="00F707BA"/>
    <w:rsid w:val="00F77228"/>
    <w:rsid w:val="00FA6E82"/>
    <w:rsid w:val="00FB4F43"/>
    <w:rsid w:val="00FC41E7"/>
    <w:rsid w:val="00FD62A3"/>
    <w:rsid w:val="00FF1FBC"/>
    <w:rsid w:val="00FF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F781"/>
  <w15:docId w15:val="{0B7E66F7-DBC2-4AED-B465-E6CEFE13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FBE"/>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3F1"/>
    <w:pPr>
      <w:ind w:left="720"/>
      <w:contextualSpacing/>
    </w:pPr>
  </w:style>
  <w:style w:type="paragraph" w:styleId="a4">
    <w:name w:val="header"/>
    <w:basedOn w:val="a"/>
    <w:link w:val="a5"/>
    <w:uiPriority w:val="99"/>
    <w:semiHidden/>
    <w:unhideWhenUsed/>
    <w:rsid w:val="00F35A71"/>
    <w:pPr>
      <w:tabs>
        <w:tab w:val="center" w:pos="4844"/>
        <w:tab w:val="right" w:pos="9689"/>
      </w:tabs>
      <w:spacing w:after="0" w:line="240" w:lineRule="auto"/>
    </w:pPr>
  </w:style>
  <w:style w:type="character" w:customStyle="1" w:styleId="a5">
    <w:name w:val="Верхний колонтитул Знак"/>
    <w:basedOn w:val="a0"/>
    <w:link w:val="a4"/>
    <w:uiPriority w:val="99"/>
    <w:semiHidden/>
    <w:rsid w:val="00F35A71"/>
    <w:rPr>
      <w:lang w:val="ro-RO"/>
    </w:rPr>
  </w:style>
  <w:style w:type="paragraph" w:styleId="a6">
    <w:name w:val="footer"/>
    <w:basedOn w:val="a"/>
    <w:link w:val="a7"/>
    <w:uiPriority w:val="99"/>
    <w:unhideWhenUsed/>
    <w:rsid w:val="00F35A71"/>
    <w:pPr>
      <w:tabs>
        <w:tab w:val="center" w:pos="4844"/>
        <w:tab w:val="right" w:pos="9689"/>
      </w:tabs>
      <w:spacing w:after="0" w:line="240" w:lineRule="auto"/>
    </w:pPr>
  </w:style>
  <w:style w:type="character" w:customStyle="1" w:styleId="a7">
    <w:name w:val="Нижний колонтитул Знак"/>
    <w:basedOn w:val="a0"/>
    <w:link w:val="a6"/>
    <w:uiPriority w:val="99"/>
    <w:rsid w:val="00F35A71"/>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1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1862</TotalTime>
  <Pages>10</Pages>
  <Words>3196</Words>
  <Characters>18220</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Toshia</dc:creator>
  <cp:lastModifiedBy>Пользователь</cp:lastModifiedBy>
  <cp:revision>159</cp:revision>
  <dcterms:created xsi:type="dcterms:W3CDTF">2018-11-16T08:42:00Z</dcterms:created>
  <dcterms:modified xsi:type="dcterms:W3CDTF">2021-09-25T07:50:00Z</dcterms:modified>
</cp:coreProperties>
</file>