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375" w:rsidRDefault="00E87375" w:rsidP="00E67819">
      <w:pPr>
        <w:spacing w:before="120" w:after="120" w:line="360" w:lineRule="auto"/>
        <w:jc w:val="center"/>
        <w:rPr>
          <w:rFonts w:ascii="Times New Roman" w:hAnsi="Times New Roman"/>
          <w:b/>
          <w:color w:val="000000" w:themeColor="text1"/>
          <w:sz w:val="48"/>
          <w:szCs w:val="24"/>
        </w:rPr>
      </w:pPr>
    </w:p>
    <w:p w:rsidR="00E87375" w:rsidRDefault="00E87375" w:rsidP="00E67819">
      <w:pPr>
        <w:spacing w:before="120" w:after="120" w:line="360" w:lineRule="auto"/>
        <w:jc w:val="center"/>
        <w:rPr>
          <w:rFonts w:ascii="Times New Roman" w:hAnsi="Times New Roman"/>
          <w:b/>
          <w:color w:val="000000" w:themeColor="text1"/>
          <w:sz w:val="48"/>
          <w:szCs w:val="24"/>
        </w:rPr>
      </w:pPr>
    </w:p>
    <w:p w:rsidR="00E67819" w:rsidRDefault="00E67819" w:rsidP="00E67819">
      <w:pPr>
        <w:spacing w:before="120" w:after="120" w:line="360" w:lineRule="auto"/>
        <w:jc w:val="center"/>
        <w:rPr>
          <w:rFonts w:ascii="Times New Roman" w:hAnsi="Times New Roman"/>
          <w:b/>
          <w:color w:val="000000" w:themeColor="text1"/>
          <w:sz w:val="48"/>
          <w:szCs w:val="24"/>
        </w:rPr>
      </w:pPr>
      <w:r>
        <w:rPr>
          <w:rFonts w:ascii="Times New Roman" w:hAnsi="Times New Roman"/>
          <w:b/>
          <w:color w:val="000000" w:themeColor="text1"/>
          <w:sz w:val="48"/>
          <w:szCs w:val="24"/>
        </w:rPr>
        <w:t xml:space="preserve">Regulamentul privind </w:t>
      </w:r>
      <w:r w:rsidR="0020189B">
        <w:rPr>
          <w:rFonts w:ascii="Times New Roman" w:hAnsi="Times New Roman"/>
          <w:b/>
          <w:color w:val="000000" w:themeColor="text1"/>
          <w:sz w:val="48"/>
          <w:szCs w:val="24"/>
        </w:rPr>
        <w:t>soluționarea petițiilor</w:t>
      </w:r>
      <w:r>
        <w:rPr>
          <w:rFonts w:ascii="Times New Roman" w:hAnsi="Times New Roman"/>
          <w:b/>
          <w:color w:val="000000" w:themeColor="text1"/>
          <w:sz w:val="48"/>
          <w:szCs w:val="24"/>
        </w:rPr>
        <w:t xml:space="preserve"> în cadrul Organizației de Creditare Nebancară “Credit Grup VS” Societate cu Răspundere Limitată</w:t>
      </w:r>
    </w:p>
    <w:p w:rsidR="00E67819" w:rsidRDefault="00E67819" w:rsidP="00E67819">
      <w:pPr>
        <w:spacing w:after="120" w:line="360" w:lineRule="auto"/>
        <w:jc w:val="both"/>
        <w:rPr>
          <w:rFonts w:ascii="Times New Roman" w:hAnsi="Times New Roman"/>
          <w:sz w:val="24"/>
          <w:szCs w:val="24"/>
        </w:rPr>
      </w:pPr>
    </w:p>
    <w:p w:rsidR="00E67819" w:rsidRDefault="00E67819" w:rsidP="00E67819">
      <w:pPr>
        <w:spacing w:after="0" w:line="360" w:lineRule="auto"/>
        <w:jc w:val="both"/>
        <w:rPr>
          <w:rFonts w:ascii="Times New Roman" w:hAnsi="Times New Roman"/>
          <w:b/>
          <w:sz w:val="24"/>
          <w:szCs w:val="24"/>
        </w:rPr>
      </w:pPr>
    </w:p>
    <w:tbl>
      <w:tblPr>
        <w:tblpPr w:leftFromText="180" w:rightFromText="180" w:vertAnchor="text" w:horzAnchor="margin" w:tblpY="2"/>
        <w:tblW w:w="9464" w:type="dxa"/>
        <w:tblLook w:val="01E0" w:firstRow="1" w:lastRow="1" w:firstColumn="1" w:lastColumn="1" w:noHBand="0" w:noVBand="0"/>
      </w:tblPr>
      <w:tblGrid>
        <w:gridCol w:w="2687"/>
        <w:gridCol w:w="6777"/>
      </w:tblGrid>
      <w:tr w:rsidR="00E67819" w:rsidTr="00E67819">
        <w:trPr>
          <w:trHeight w:val="268"/>
        </w:trPr>
        <w:tc>
          <w:tcPr>
            <w:tcW w:w="2687" w:type="dxa"/>
            <w:shd w:val="clear" w:color="auto" w:fill="FFFFFF"/>
            <w:hideMark/>
          </w:tcPr>
          <w:p w:rsidR="00E67819" w:rsidRDefault="00E67819">
            <w:pPr>
              <w:spacing w:after="100" w:line="360" w:lineRule="auto"/>
              <w:jc w:val="both"/>
              <w:rPr>
                <w:rFonts w:ascii="Times New Roman" w:hAnsi="Times New Roman"/>
                <w:b/>
                <w:sz w:val="24"/>
                <w:szCs w:val="24"/>
              </w:rPr>
            </w:pPr>
            <w:r>
              <w:rPr>
                <w:rFonts w:ascii="Times New Roman" w:hAnsi="Times New Roman"/>
                <w:b/>
                <w:sz w:val="24"/>
                <w:szCs w:val="24"/>
              </w:rPr>
              <w:t>Elaborat:</w:t>
            </w:r>
          </w:p>
        </w:tc>
        <w:tc>
          <w:tcPr>
            <w:tcW w:w="6777" w:type="dxa"/>
            <w:shd w:val="clear" w:color="auto" w:fill="FFFFFF"/>
            <w:vAlign w:val="center"/>
            <w:hideMark/>
          </w:tcPr>
          <w:p w:rsidR="00E67819" w:rsidRDefault="00E67819">
            <w:pPr>
              <w:spacing w:after="100" w:line="360" w:lineRule="auto"/>
              <w:jc w:val="both"/>
              <w:rPr>
                <w:rFonts w:ascii="Times New Roman" w:hAnsi="Times New Roman"/>
                <w:sz w:val="24"/>
                <w:szCs w:val="24"/>
                <w:lang w:val="en-US"/>
              </w:rPr>
            </w:pPr>
            <w:r>
              <w:rPr>
                <w:rFonts w:ascii="Times New Roman" w:hAnsi="Times New Roman"/>
                <w:sz w:val="24"/>
                <w:szCs w:val="24"/>
              </w:rPr>
              <w:t>Organizația de Creditare Nebancară “Credit Grup VS” S.R.L.</w:t>
            </w:r>
          </w:p>
        </w:tc>
      </w:tr>
      <w:tr w:rsidR="00E67819" w:rsidTr="00E67819">
        <w:trPr>
          <w:trHeight w:val="354"/>
        </w:trPr>
        <w:tc>
          <w:tcPr>
            <w:tcW w:w="2687" w:type="dxa"/>
            <w:shd w:val="clear" w:color="auto" w:fill="FFFFFF"/>
            <w:hideMark/>
          </w:tcPr>
          <w:p w:rsidR="00E67819" w:rsidRDefault="00E67819">
            <w:pPr>
              <w:suppressAutoHyphens/>
              <w:snapToGrid w:val="0"/>
              <w:spacing w:after="120" w:line="360" w:lineRule="auto"/>
              <w:jc w:val="both"/>
              <w:rPr>
                <w:rFonts w:ascii="Times New Roman" w:hAnsi="Times New Roman"/>
                <w:b/>
                <w:sz w:val="24"/>
                <w:szCs w:val="24"/>
                <w:lang w:eastAsia="ar-SA"/>
              </w:rPr>
            </w:pPr>
            <w:r>
              <w:rPr>
                <w:rFonts w:ascii="Times New Roman" w:hAnsi="Times New Roman"/>
                <w:b/>
                <w:sz w:val="24"/>
                <w:szCs w:val="24"/>
                <w:lang w:eastAsia="ar-SA"/>
              </w:rPr>
              <w:t>Securitatea informației:</w:t>
            </w:r>
          </w:p>
        </w:tc>
        <w:tc>
          <w:tcPr>
            <w:tcW w:w="6777" w:type="dxa"/>
            <w:shd w:val="clear" w:color="auto" w:fill="FFFFFF"/>
            <w:hideMark/>
          </w:tcPr>
          <w:p w:rsidR="00E67819" w:rsidRDefault="00E67819">
            <w:pPr>
              <w:tabs>
                <w:tab w:val="center" w:pos="4677"/>
                <w:tab w:val="right" w:pos="9355"/>
              </w:tabs>
              <w:suppressAutoHyphens/>
              <w:snapToGrid w:val="0"/>
              <w:spacing w:after="120" w:line="360" w:lineRule="auto"/>
              <w:jc w:val="both"/>
              <w:rPr>
                <w:rFonts w:ascii="Times New Roman" w:hAnsi="Times New Roman"/>
                <w:sz w:val="24"/>
                <w:szCs w:val="24"/>
                <w:lang w:eastAsia="ar-SA"/>
              </w:rPr>
            </w:pPr>
            <w:r>
              <w:rPr>
                <w:rFonts w:ascii="Times New Roman" w:hAnsi="Times New Roman"/>
                <w:sz w:val="24"/>
                <w:szCs w:val="24"/>
                <w:lang w:eastAsia="ar-SA"/>
              </w:rPr>
              <w:t>Limitată, salariaților Organizației</w:t>
            </w:r>
          </w:p>
        </w:tc>
      </w:tr>
      <w:tr w:rsidR="00E67819" w:rsidTr="00E67819">
        <w:trPr>
          <w:trHeight w:val="354"/>
        </w:trPr>
        <w:tc>
          <w:tcPr>
            <w:tcW w:w="2687" w:type="dxa"/>
            <w:shd w:val="clear" w:color="auto" w:fill="FFFFFF"/>
            <w:hideMark/>
          </w:tcPr>
          <w:p w:rsidR="00E67819" w:rsidRDefault="00E67819">
            <w:pPr>
              <w:suppressAutoHyphens/>
              <w:snapToGrid w:val="0"/>
              <w:spacing w:after="120" w:line="360" w:lineRule="auto"/>
              <w:jc w:val="both"/>
              <w:rPr>
                <w:rFonts w:ascii="Times New Roman" w:hAnsi="Times New Roman"/>
                <w:b/>
                <w:sz w:val="24"/>
                <w:szCs w:val="24"/>
                <w:lang w:eastAsia="ar-SA"/>
              </w:rPr>
            </w:pPr>
            <w:r>
              <w:rPr>
                <w:rFonts w:ascii="Times New Roman" w:hAnsi="Times New Roman"/>
                <w:b/>
                <w:sz w:val="24"/>
                <w:szCs w:val="24"/>
                <w:lang w:eastAsia="ar-SA"/>
              </w:rPr>
              <w:t>Limba:</w:t>
            </w:r>
          </w:p>
        </w:tc>
        <w:tc>
          <w:tcPr>
            <w:tcW w:w="6777" w:type="dxa"/>
            <w:shd w:val="clear" w:color="auto" w:fill="FFFFFF"/>
            <w:hideMark/>
          </w:tcPr>
          <w:p w:rsidR="00E67819" w:rsidRDefault="00E67819">
            <w:pPr>
              <w:tabs>
                <w:tab w:val="center" w:pos="4677"/>
                <w:tab w:val="right" w:pos="9355"/>
              </w:tabs>
              <w:suppressAutoHyphens/>
              <w:snapToGrid w:val="0"/>
              <w:spacing w:after="120" w:line="360" w:lineRule="auto"/>
              <w:jc w:val="both"/>
              <w:rPr>
                <w:rFonts w:ascii="Times New Roman" w:hAnsi="Times New Roman"/>
                <w:sz w:val="24"/>
                <w:szCs w:val="24"/>
                <w:lang w:eastAsia="ar-SA"/>
              </w:rPr>
            </w:pPr>
            <w:r>
              <w:rPr>
                <w:rFonts w:ascii="Times New Roman" w:hAnsi="Times New Roman"/>
                <w:sz w:val="24"/>
                <w:szCs w:val="24"/>
                <w:lang w:eastAsia="ar-SA"/>
              </w:rPr>
              <w:t>Română</w:t>
            </w:r>
          </w:p>
        </w:tc>
      </w:tr>
      <w:tr w:rsidR="00E67819" w:rsidTr="00E67819">
        <w:trPr>
          <w:trHeight w:val="2576"/>
        </w:trPr>
        <w:tc>
          <w:tcPr>
            <w:tcW w:w="2687" w:type="dxa"/>
            <w:shd w:val="clear" w:color="auto" w:fill="FFFFFF"/>
            <w:hideMark/>
          </w:tcPr>
          <w:p w:rsidR="00E67819" w:rsidRDefault="00E67819">
            <w:pPr>
              <w:suppressAutoHyphens/>
              <w:snapToGrid w:val="0"/>
              <w:spacing w:after="120" w:line="360" w:lineRule="auto"/>
              <w:jc w:val="both"/>
              <w:rPr>
                <w:rFonts w:ascii="Times New Roman" w:hAnsi="Times New Roman"/>
                <w:b/>
                <w:sz w:val="24"/>
                <w:szCs w:val="24"/>
                <w:lang w:eastAsia="ar-SA"/>
              </w:rPr>
            </w:pPr>
            <w:r>
              <w:rPr>
                <w:rFonts w:ascii="Times New Roman" w:hAnsi="Times New Roman"/>
                <w:b/>
                <w:sz w:val="24"/>
                <w:szCs w:val="24"/>
                <w:lang w:eastAsia="ar-SA"/>
              </w:rPr>
              <w:t>Destinatari / Utilizatori:</w:t>
            </w:r>
          </w:p>
        </w:tc>
        <w:tc>
          <w:tcPr>
            <w:tcW w:w="6777" w:type="dxa"/>
            <w:shd w:val="clear" w:color="auto" w:fill="FFFFFF"/>
          </w:tcPr>
          <w:p w:rsidR="00E67819" w:rsidRDefault="00E67819" w:rsidP="00E67819">
            <w:pPr>
              <w:numPr>
                <w:ilvl w:val="0"/>
                <w:numId w:val="4"/>
              </w:numPr>
              <w:tabs>
                <w:tab w:val="left" w:pos="432"/>
                <w:tab w:val="center" w:pos="4752"/>
                <w:tab w:val="right" w:pos="9072"/>
              </w:tabs>
              <w:suppressAutoHyphens/>
              <w:snapToGrid w:val="0"/>
              <w:spacing w:before="120" w:after="0" w:line="360" w:lineRule="auto"/>
              <w:ind w:left="431" w:hanging="357"/>
              <w:jc w:val="both"/>
              <w:rPr>
                <w:rFonts w:ascii="Times New Roman" w:hAnsi="Times New Roman"/>
                <w:sz w:val="24"/>
                <w:szCs w:val="24"/>
                <w:lang w:eastAsia="ar-SA"/>
              </w:rPr>
            </w:pPr>
            <w:r>
              <w:rPr>
                <w:rFonts w:ascii="Times New Roman" w:hAnsi="Times New Roman"/>
                <w:sz w:val="24"/>
                <w:szCs w:val="24"/>
                <w:lang w:eastAsia="ar-SA"/>
              </w:rPr>
              <w:t>Director</w:t>
            </w:r>
          </w:p>
          <w:p w:rsidR="00E67819" w:rsidRDefault="00E67819" w:rsidP="00E67819">
            <w:pPr>
              <w:numPr>
                <w:ilvl w:val="0"/>
                <w:numId w:val="4"/>
              </w:numPr>
              <w:tabs>
                <w:tab w:val="left" w:pos="432"/>
                <w:tab w:val="center" w:pos="4752"/>
                <w:tab w:val="right" w:pos="9072"/>
              </w:tabs>
              <w:suppressAutoHyphens/>
              <w:spacing w:before="120" w:after="0" w:line="360" w:lineRule="auto"/>
              <w:ind w:left="431" w:hanging="357"/>
              <w:jc w:val="both"/>
              <w:rPr>
                <w:rFonts w:ascii="Times New Roman" w:hAnsi="Times New Roman"/>
                <w:sz w:val="24"/>
                <w:szCs w:val="24"/>
                <w:lang w:eastAsia="ar-SA"/>
              </w:rPr>
            </w:pPr>
            <w:r>
              <w:rPr>
                <w:rFonts w:ascii="Times New Roman" w:hAnsi="Times New Roman"/>
                <w:sz w:val="24"/>
                <w:szCs w:val="24"/>
                <w:lang w:eastAsia="ar-SA"/>
              </w:rPr>
              <w:t>Specialiștii Analize credite</w:t>
            </w:r>
          </w:p>
          <w:p w:rsidR="00745588" w:rsidRDefault="00745588" w:rsidP="00E67819">
            <w:pPr>
              <w:numPr>
                <w:ilvl w:val="0"/>
                <w:numId w:val="4"/>
              </w:numPr>
              <w:tabs>
                <w:tab w:val="left" w:pos="432"/>
                <w:tab w:val="center" w:pos="4752"/>
                <w:tab w:val="right" w:pos="9072"/>
              </w:tabs>
              <w:suppressAutoHyphens/>
              <w:spacing w:before="120" w:after="0" w:line="360" w:lineRule="auto"/>
              <w:ind w:left="431" w:hanging="357"/>
              <w:jc w:val="both"/>
              <w:rPr>
                <w:rFonts w:ascii="Times New Roman" w:hAnsi="Times New Roman"/>
                <w:sz w:val="24"/>
                <w:szCs w:val="24"/>
                <w:lang w:eastAsia="ar-SA"/>
              </w:rPr>
            </w:pPr>
            <w:r>
              <w:rPr>
                <w:rFonts w:ascii="Times New Roman" w:hAnsi="Times New Roman"/>
                <w:sz w:val="24"/>
                <w:szCs w:val="24"/>
                <w:lang w:eastAsia="ar-SA"/>
              </w:rPr>
              <w:t>Clienți</w:t>
            </w:r>
          </w:p>
          <w:p w:rsidR="00745588" w:rsidRDefault="00745588" w:rsidP="00E67819">
            <w:pPr>
              <w:numPr>
                <w:ilvl w:val="0"/>
                <w:numId w:val="4"/>
              </w:numPr>
              <w:tabs>
                <w:tab w:val="left" w:pos="432"/>
                <w:tab w:val="center" w:pos="4752"/>
                <w:tab w:val="right" w:pos="9072"/>
              </w:tabs>
              <w:suppressAutoHyphens/>
              <w:spacing w:before="120" w:after="0" w:line="360" w:lineRule="auto"/>
              <w:ind w:left="431" w:hanging="357"/>
              <w:jc w:val="both"/>
              <w:rPr>
                <w:rFonts w:ascii="Times New Roman" w:hAnsi="Times New Roman"/>
                <w:sz w:val="24"/>
                <w:szCs w:val="24"/>
                <w:lang w:eastAsia="ar-SA"/>
              </w:rPr>
            </w:pPr>
            <w:r>
              <w:rPr>
                <w:rFonts w:ascii="Times New Roman" w:hAnsi="Times New Roman"/>
                <w:sz w:val="24"/>
                <w:szCs w:val="24"/>
                <w:lang w:eastAsia="ar-SA"/>
              </w:rPr>
              <w:t>Persoane terțe</w:t>
            </w:r>
          </w:p>
          <w:p w:rsidR="00E67819" w:rsidRDefault="00E67819">
            <w:pPr>
              <w:tabs>
                <w:tab w:val="left" w:pos="432"/>
                <w:tab w:val="center" w:pos="4752"/>
                <w:tab w:val="right" w:pos="9072"/>
              </w:tabs>
              <w:suppressAutoHyphens/>
              <w:spacing w:before="120" w:after="0" w:line="360" w:lineRule="auto"/>
              <w:ind w:left="431"/>
              <w:jc w:val="both"/>
              <w:rPr>
                <w:rFonts w:ascii="Times New Roman" w:hAnsi="Times New Roman"/>
                <w:sz w:val="24"/>
                <w:szCs w:val="24"/>
                <w:lang w:eastAsia="ar-SA"/>
              </w:rPr>
            </w:pPr>
          </w:p>
        </w:tc>
      </w:tr>
    </w:tbl>
    <w:p w:rsidR="00E67819" w:rsidRDefault="00E67819" w:rsidP="00E67819">
      <w:pPr>
        <w:spacing w:before="120" w:after="120" w:line="360" w:lineRule="auto"/>
        <w:jc w:val="both"/>
        <w:rPr>
          <w:rFonts w:ascii="Times New Roman" w:hAnsi="Times New Roman"/>
          <w:b/>
          <w:sz w:val="24"/>
          <w:szCs w:val="24"/>
        </w:rPr>
      </w:pPr>
    </w:p>
    <w:p w:rsidR="00E67819" w:rsidRDefault="00E67819" w:rsidP="00E67819">
      <w:pPr>
        <w:spacing w:before="120" w:after="120" w:line="360" w:lineRule="auto"/>
        <w:jc w:val="both"/>
        <w:rPr>
          <w:rFonts w:ascii="Times New Roman" w:hAnsi="Times New Roman"/>
          <w:b/>
          <w:sz w:val="24"/>
          <w:szCs w:val="24"/>
        </w:rPr>
      </w:pPr>
    </w:p>
    <w:p w:rsidR="00745588" w:rsidRDefault="00745588" w:rsidP="00E67819">
      <w:pPr>
        <w:spacing w:before="120" w:after="120" w:line="360" w:lineRule="auto"/>
        <w:jc w:val="center"/>
        <w:rPr>
          <w:rFonts w:ascii="Times New Roman" w:hAnsi="Times New Roman"/>
          <w:b/>
          <w:sz w:val="24"/>
          <w:szCs w:val="24"/>
        </w:rPr>
      </w:pPr>
    </w:p>
    <w:p w:rsidR="00E67819" w:rsidRDefault="0057740A" w:rsidP="00E67819">
      <w:pPr>
        <w:spacing w:before="120" w:after="120" w:line="360" w:lineRule="auto"/>
        <w:jc w:val="center"/>
        <w:rPr>
          <w:rFonts w:ascii="Times New Roman" w:hAnsi="Times New Roman"/>
          <w:b/>
          <w:sz w:val="24"/>
          <w:szCs w:val="24"/>
        </w:rPr>
      </w:pPr>
      <w:r>
        <w:rPr>
          <w:rFonts w:ascii="Times New Roman" w:hAnsi="Times New Roman"/>
          <w:b/>
          <w:sz w:val="24"/>
          <w:szCs w:val="24"/>
        </w:rPr>
        <w:t>Chișinău 2021</w:t>
      </w:r>
    </w:p>
    <w:p w:rsidR="006B7067" w:rsidRPr="006B7067" w:rsidRDefault="006B7067" w:rsidP="006B7067">
      <w:pPr>
        <w:jc w:val="center"/>
        <w:rPr>
          <w:rFonts w:ascii="Times New Roman" w:hAnsi="Times New Roman" w:cs="Times New Roman"/>
          <w:b/>
          <w:sz w:val="24"/>
          <w:szCs w:val="24"/>
        </w:rPr>
      </w:pPr>
      <w:r w:rsidRPr="006B7067">
        <w:rPr>
          <w:rFonts w:ascii="Times New Roman" w:hAnsi="Times New Roman" w:cs="Times New Roman"/>
          <w:b/>
          <w:sz w:val="24"/>
          <w:szCs w:val="24"/>
        </w:rPr>
        <w:lastRenderedPageBreak/>
        <w:t>I. DISPOZIŢII GENERALE</w:t>
      </w:r>
    </w:p>
    <w:p w:rsidR="006B7067" w:rsidRPr="001216D8" w:rsidRDefault="006B7067" w:rsidP="006B7067">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Prezentul Regulament stabileşte modalitatea de examinare a petiţiilor parvenite din partea persoanelor fizice şi/sau juridice în adresa organizației de creditare nebancară. </w:t>
      </w:r>
    </w:p>
    <w:p w:rsidR="006B7067" w:rsidRPr="001216D8" w:rsidRDefault="006B7067" w:rsidP="006B7067">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 sensul prezentului Regulament se utilizează următoarele noţiuni: </w:t>
      </w:r>
    </w:p>
    <w:p w:rsidR="006B7067" w:rsidRPr="001216D8" w:rsidRDefault="006B7067" w:rsidP="006B7067">
      <w:pPr>
        <w:pStyle w:val="a3"/>
        <w:ind w:left="0"/>
        <w:jc w:val="both"/>
        <w:rPr>
          <w:rFonts w:ascii="Times New Roman" w:hAnsi="Times New Roman" w:cs="Times New Roman"/>
          <w:sz w:val="24"/>
          <w:szCs w:val="24"/>
        </w:rPr>
      </w:pPr>
      <w:r w:rsidRPr="000D41CB">
        <w:rPr>
          <w:rFonts w:ascii="Times New Roman" w:hAnsi="Times New Roman" w:cs="Times New Roman"/>
          <w:b/>
          <w:sz w:val="24"/>
          <w:szCs w:val="24"/>
        </w:rPr>
        <w:t>1) Petiţie</w:t>
      </w:r>
      <w:r w:rsidRPr="001216D8">
        <w:rPr>
          <w:rFonts w:ascii="Times New Roman" w:hAnsi="Times New Roman" w:cs="Times New Roman"/>
          <w:sz w:val="24"/>
          <w:szCs w:val="24"/>
        </w:rPr>
        <w:t xml:space="preserve"> – o expunere scrisă adresată de o persoană sau de un grup de persoane unui participant profesionist la piaţa financiară nebancară, în care se formulează o cerere, o revendicare, un punct de vedere, se contestă activitatea sau actele participantului profesionist sau nesoluţionarea în termenul stabilit a unei cereri de către acesta. </w:t>
      </w:r>
    </w:p>
    <w:p w:rsidR="006D1052" w:rsidRDefault="006B7067" w:rsidP="006B7067">
      <w:pPr>
        <w:pStyle w:val="a3"/>
        <w:ind w:left="0"/>
        <w:jc w:val="both"/>
        <w:rPr>
          <w:rFonts w:ascii="Times New Roman" w:hAnsi="Times New Roman" w:cs="Times New Roman"/>
          <w:sz w:val="24"/>
          <w:szCs w:val="24"/>
        </w:rPr>
      </w:pPr>
      <w:r w:rsidRPr="000D41CB">
        <w:rPr>
          <w:rFonts w:ascii="Times New Roman" w:hAnsi="Times New Roman" w:cs="Times New Roman"/>
          <w:b/>
          <w:sz w:val="24"/>
          <w:szCs w:val="24"/>
        </w:rPr>
        <w:t>2) Persoană responsabilă</w:t>
      </w:r>
      <w:r w:rsidRPr="001216D8">
        <w:rPr>
          <w:rFonts w:ascii="Times New Roman" w:hAnsi="Times New Roman" w:cs="Times New Roman"/>
          <w:sz w:val="24"/>
          <w:szCs w:val="24"/>
        </w:rPr>
        <w:t xml:space="preserve"> – angajatul </w:t>
      </w:r>
      <w:r w:rsidR="00732720" w:rsidRPr="001216D8">
        <w:rPr>
          <w:rFonts w:ascii="Times New Roman" w:hAnsi="Times New Roman" w:cs="Times New Roman"/>
          <w:sz w:val="24"/>
          <w:szCs w:val="24"/>
        </w:rPr>
        <w:t>organizației de creditare nebancară</w:t>
      </w:r>
      <w:r w:rsidRPr="001216D8">
        <w:rPr>
          <w:rFonts w:ascii="Times New Roman" w:hAnsi="Times New Roman" w:cs="Times New Roman"/>
          <w:sz w:val="24"/>
          <w:szCs w:val="24"/>
        </w:rPr>
        <w:t>, desemnat pentru soluţionarea petiţiei şi/sau transmiterea acesteia cu concluzia sa spre examinare conducătorului participantului profesionist.</w:t>
      </w:r>
    </w:p>
    <w:p w:rsidR="006B7067" w:rsidRPr="001216D8" w:rsidRDefault="006D1052" w:rsidP="006B7067">
      <w:pPr>
        <w:pStyle w:val="a3"/>
        <w:ind w:left="0"/>
        <w:jc w:val="both"/>
        <w:rPr>
          <w:rFonts w:ascii="Times New Roman" w:hAnsi="Times New Roman" w:cs="Times New Roman"/>
          <w:sz w:val="24"/>
          <w:szCs w:val="24"/>
        </w:rPr>
      </w:pPr>
      <w:r w:rsidRPr="000D41CB">
        <w:rPr>
          <w:rFonts w:ascii="Times New Roman" w:hAnsi="Times New Roman" w:cs="Times New Roman"/>
          <w:b/>
          <w:sz w:val="24"/>
          <w:szCs w:val="24"/>
        </w:rPr>
        <w:t>3) Participant profesionist/profesionit</w:t>
      </w:r>
      <w:r>
        <w:rPr>
          <w:rFonts w:ascii="Times New Roman" w:hAnsi="Times New Roman" w:cs="Times New Roman"/>
          <w:sz w:val="24"/>
          <w:szCs w:val="24"/>
        </w:rPr>
        <w:t xml:space="preserve"> – Organizația de Creditare nebancară </w:t>
      </w:r>
      <w:r>
        <w:rPr>
          <w:rFonts w:ascii="Times New Roman" w:hAnsi="Times New Roman" w:cs="Times New Roman"/>
          <w:sz w:val="24"/>
          <w:szCs w:val="24"/>
          <w:lang w:val="en-US"/>
        </w:rPr>
        <w:t>“Credit Grup VS” Societate cu R</w:t>
      </w:r>
      <w:r>
        <w:rPr>
          <w:rFonts w:ascii="Times New Roman" w:hAnsi="Times New Roman" w:cs="Times New Roman"/>
          <w:sz w:val="24"/>
          <w:szCs w:val="24"/>
        </w:rPr>
        <w:t>ăspundere Limitată.</w:t>
      </w:r>
    </w:p>
    <w:p w:rsidR="006B7067" w:rsidRPr="001216D8" w:rsidRDefault="006B7067" w:rsidP="006B7067">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 procesul examinării petiţiei de către participantul profesionist, petiţionarul are următoarele drepturi: </w:t>
      </w:r>
    </w:p>
    <w:p w:rsidR="006B7067" w:rsidRPr="001216D8" w:rsidRDefault="006B7067" w:rsidP="006B7067">
      <w:pPr>
        <w:pStyle w:val="a3"/>
        <w:ind w:left="0"/>
        <w:jc w:val="both"/>
        <w:rPr>
          <w:rFonts w:ascii="Times New Roman" w:hAnsi="Times New Roman" w:cs="Times New Roman"/>
          <w:sz w:val="24"/>
          <w:szCs w:val="24"/>
        </w:rPr>
      </w:pPr>
      <w:r w:rsidRPr="001216D8">
        <w:rPr>
          <w:rFonts w:ascii="Times New Roman" w:hAnsi="Times New Roman" w:cs="Times New Roman"/>
          <w:sz w:val="24"/>
          <w:szCs w:val="24"/>
        </w:rPr>
        <w:t xml:space="preserve">1) să expună personal argumente persoanei responsabile; </w:t>
      </w:r>
    </w:p>
    <w:p w:rsidR="006B7067" w:rsidRPr="001216D8" w:rsidRDefault="006B7067" w:rsidP="006B7067">
      <w:pPr>
        <w:pStyle w:val="a3"/>
        <w:ind w:left="0"/>
        <w:jc w:val="both"/>
        <w:rPr>
          <w:rFonts w:ascii="Times New Roman" w:hAnsi="Times New Roman" w:cs="Times New Roman"/>
          <w:sz w:val="24"/>
          <w:szCs w:val="24"/>
        </w:rPr>
      </w:pPr>
      <w:r w:rsidRPr="001216D8">
        <w:rPr>
          <w:rFonts w:ascii="Times New Roman" w:hAnsi="Times New Roman" w:cs="Times New Roman"/>
          <w:sz w:val="24"/>
          <w:szCs w:val="24"/>
        </w:rPr>
        <w:t xml:space="preserve">2) să beneficieze de serviciile avocatului sau a specialistului desemnat de acesta; </w:t>
      </w:r>
    </w:p>
    <w:p w:rsidR="006B7067" w:rsidRPr="001216D8" w:rsidRDefault="006B7067" w:rsidP="006B7067">
      <w:pPr>
        <w:pStyle w:val="a3"/>
        <w:ind w:left="0"/>
        <w:jc w:val="both"/>
        <w:rPr>
          <w:rFonts w:ascii="Times New Roman" w:hAnsi="Times New Roman" w:cs="Times New Roman"/>
          <w:sz w:val="24"/>
          <w:szCs w:val="24"/>
        </w:rPr>
      </w:pPr>
      <w:r w:rsidRPr="001216D8">
        <w:rPr>
          <w:rFonts w:ascii="Times New Roman" w:hAnsi="Times New Roman" w:cs="Times New Roman"/>
          <w:sz w:val="24"/>
          <w:szCs w:val="24"/>
        </w:rPr>
        <w:t xml:space="preserve">3) să prezinte documente şi informaţii suplimentare persoanei responsabile; </w:t>
      </w:r>
    </w:p>
    <w:p w:rsidR="006B7067" w:rsidRPr="001216D8" w:rsidRDefault="006B7067" w:rsidP="006B7067">
      <w:pPr>
        <w:pStyle w:val="a3"/>
        <w:ind w:left="0"/>
        <w:jc w:val="both"/>
        <w:rPr>
          <w:rFonts w:ascii="Times New Roman" w:hAnsi="Times New Roman" w:cs="Times New Roman"/>
          <w:sz w:val="24"/>
          <w:szCs w:val="24"/>
        </w:rPr>
      </w:pPr>
      <w:r w:rsidRPr="001216D8">
        <w:rPr>
          <w:rFonts w:ascii="Times New Roman" w:hAnsi="Times New Roman" w:cs="Times New Roman"/>
          <w:sz w:val="24"/>
          <w:szCs w:val="24"/>
        </w:rPr>
        <w:t xml:space="preserve">4) să ia cunoştinţă de documentele şi informaţiile relevante pe marginea cazului pus în examinare, dacă aceasta nu aduce atingere intereselor, drepturilor şi libertăţilor altor persoane şi dacă nu prezintă secret comercial sau alt secret protejat de lege; </w:t>
      </w:r>
    </w:p>
    <w:p w:rsidR="006B7067" w:rsidRPr="001216D8" w:rsidRDefault="006B7067" w:rsidP="006B7067">
      <w:pPr>
        <w:pStyle w:val="a3"/>
        <w:ind w:left="0"/>
        <w:jc w:val="both"/>
        <w:rPr>
          <w:rFonts w:ascii="Times New Roman" w:hAnsi="Times New Roman" w:cs="Times New Roman"/>
          <w:sz w:val="24"/>
          <w:szCs w:val="24"/>
        </w:rPr>
      </w:pPr>
      <w:r w:rsidRPr="001216D8">
        <w:rPr>
          <w:rFonts w:ascii="Times New Roman" w:hAnsi="Times New Roman" w:cs="Times New Roman"/>
          <w:sz w:val="24"/>
          <w:szCs w:val="24"/>
        </w:rPr>
        <w:t>5) să primească răspuns pe suport de</w:t>
      </w:r>
      <w:r w:rsidR="00D01B1A">
        <w:rPr>
          <w:rFonts w:ascii="Times New Roman" w:hAnsi="Times New Roman" w:cs="Times New Roman"/>
          <w:sz w:val="24"/>
          <w:szCs w:val="24"/>
        </w:rPr>
        <w:t xml:space="preserve"> hâ</w:t>
      </w:r>
      <w:r w:rsidRPr="001216D8">
        <w:rPr>
          <w:rFonts w:ascii="Times New Roman" w:hAnsi="Times New Roman" w:cs="Times New Roman"/>
          <w:sz w:val="24"/>
          <w:szCs w:val="24"/>
        </w:rPr>
        <w:t xml:space="preserve">rtie sau în formă electronică despre rezultatele examinării, reieşind din solicitarea sa; </w:t>
      </w:r>
    </w:p>
    <w:p w:rsidR="006B7067" w:rsidRPr="001216D8" w:rsidRDefault="006B7067" w:rsidP="006B7067">
      <w:pPr>
        <w:pStyle w:val="a3"/>
        <w:ind w:left="0"/>
        <w:jc w:val="both"/>
        <w:rPr>
          <w:rFonts w:ascii="Times New Roman" w:hAnsi="Times New Roman" w:cs="Times New Roman"/>
          <w:sz w:val="24"/>
          <w:szCs w:val="24"/>
        </w:rPr>
      </w:pPr>
      <w:r w:rsidRPr="001216D8">
        <w:rPr>
          <w:rFonts w:ascii="Times New Roman" w:hAnsi="Times New Roman" w:cs="Times New Roman"/>
          <w:sz w:val="24"/>
          <w:szCs w:val="24"/>
        </w:rPr>
        <w:t xml:space="preserve">6) să solicite suspendarea sau încetarea examinării petiţiei; </w:t>
      </w:r>
    </w:p>
    <w:p w:rsidR="006B7067" w:rsidRPr="001216D8" w:rsidRDefault="006B7067" w:rsidP="006B7067">
      <w:pPr>
        <w:pStyle w:val="a3"/>
        <w:ind w:left="0"/>
        <w:jc w:val="both"/>
        <w:rPr>
          <w:rFonts w:ascii="Times New Roman" w:hAnsi="Times New Roman" w:cs="Times New Roman"/>
          <w:sz w:val="24"/>
          <w:szCs w:val="24"/>
        </w:rPr>
      </w:pPr>
      <w:r w:rsidRPr="001216D8">
        <w:rPr>
          <w:rFonts w:ascii="Times New Roman" w:hAnsi="Times New Roman" w:cs="Times New Roman"/>
          <w:sz w:val="24"/>
          <w:szCs w:val="24"/>
        </w:rPr>
        <w:t xml:space="preserve">7) să solicite repararea prejudiciului în modul stabilit de legislaţie; </w:t>
      </w:r>
    </w:p>
    <w:p w:rsidR="006B7067" w:rsidRPr="001216D8" w:rsidRDefault="006B7067" w:rsidP="006B7067">
      <w:pPr>
        <w:pStyle w:val="a3"/>
        <w:ind w:left="0"/>
        <w:jc w:val="both"/>
        <w:rPr>
          <w:rFonts w:ascii="Times New Roman" w:hAnsi="Times New Roman" w:cs="Times New Roman"/>
          <w:sz w:val="24"/>
          <w:szCs w:val="24"/>
        </w:rPr>
      </w:pPr>
      <w:r w:rsidRPr="001216D8">
        <w:rPr>
          <w:rFonts w:ascii="Times New Roman" w:hAnsi="Times New Roman" w:cs="Times New Roman"/>
          <w:sz w:val="24"/>
          <w:szCs w:val="24"/>
        </w:rPr>
        <w:t xml:space="preserve">8) să solicite aplicarea parafei de înregistrare atît pe originalul, cît şi pe copia petiţiei. </w:t>
      </w:r>
    </w:p>
    <w:p w:rsidR="00732720"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 scopul soluţionării cît mai operative şi eficiente a chestiunilor abordate în petiţie, participantul profesionist poate invita petiţionarul la sediul său, solicitînd după caz explicaţii, comentarii şi materiale suplimentare. </w:t>
      </w:r>
    </w:p>
    <w:p w:rsidR="00AF015F" w:rsidRDefault="00732720" w:rsidP="00AF015F">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Organizația de creditare nebancară</w:t>
      </w:r>
      <w:r w:rsidR="005E7B47">
        <w:rPr>
          <w:rFonts w:ascii="Times New Roman" w:hAnsi="Times New Roman" w:cs="Times New Roman"/>
          <w:sz w:val="24"/>
          <w:szCs w:val="24"/>
        </w:rPr>
        <w:t>,</w:t>
      </w:r>
      <w:r w:rsidRPr="001216D8">
        <w:rPr>
          <w:rFonts w:ascii="Times New Roman" w:hAnsi="Times New Roman" w:cs="Times New Roman"/>
          <w:sz w:val="24"/>
          <w:szCs w:val="24"/>
        </w:rPr>
        <w:t xml:space="preserve"> va asigura</w:t>
      </w:r>
      <w:r w:rsidR="006B7067" w:rsidRPr="001216D8">
        <w:rPr>
          <w:rFonts w:ascii="Times New Roman" w:hAnsi="Times New Roman" w:cs="Times New Roman"/>
          <w:sz w:val="24"/>
          <w:szCs w:val="24"/>
        </w:rPr>
        <w:t xml:space="preserve"> confidenţialitatea datelor care fac obiectul petiţiei, precum şi a datelor cu caracter personal reglementate prin Legea nr.</w:t>
      </w:r>
      <w:r w:rsidR="00CE0434">
        <w:rPr>
          <w:rFonts w:ascii="Times New Roman" w:hAnsi="Times New Roman" w:cs="Times New Roman"/>
          <w:sz w:val="24"/>
          <w:szCs w:val="24"/>
        </w:rPr>
        <w:t xml:space="preserve"> </w:t>
      </w:r>
      <w:r w:rsidR="006B7067" w:rsidRPr="001216D8">
        <w:rPr>
          <w:rFonts w:ascii="Times New Roman" w:hAnsi="Times New Roman" w:cs="Times New Roman"/>
          <w:sz w:val="24"/>
          <w:szCs w:val="24"/>
        </w:rPr>
        <w:t>133 din 8 iulie 2</w:t>
      </w:r>
      <w:r w:rsidR="00CE0434">
        <w:rPr>
          <w:rFonts w:ascii="Times New Roman" w:hAnsi="Times New Roman" w:cs="Times New Roman"/>
          <w:sz w:val="24"/>
          <w:szCs w:val="24"/>
        </w:rPr>
        <w:t>011 p</w:t>
      </w:r>
      <w:r w:rsidR="006B7067" w:rsidRPr="001216D8">
        <w:rPr>
          <w:rFonts w:ascii="Times New Roman" w:hAnsi="Times New Roman" w:cs="Times New Roman"/>
          <w:sz w:val="24"/>
          <w:szCs w:val="24"/>
        </w:rPr>
        <w:t>rivind protecţ</w:t>
      </w:r>
      <w:r w:rsidR="00CE0434">
        <w:rPr>
          <w:rFonts w:ascii="Times New Roman" w:hAnsi="Times New Roman" w:cs="Times New Roman"/>
          <w:sz w:val="24"/>
          <w:szCs w:val="24"/>
        </w:rPr>
        <w:t>ia datelor cu caracter personal</w:t>
      </w:r>
      <w:r w:rsidR="006B7067" w:rsidRPr="001216D8">
        <w:rPr>
          <w:rFonts w:ascii="Times New Roman" w:hAnsi="Times New Roman" w:cs="Times New Roman"/>
          <w:sz w:val="24"/>
          <w:szCs w:val="24"/>
        </w:rPr>
        <w:t>.</w:t>
      </w:r>
    </w:p>
    <w:p w:rsidR="00AF015F" w:rsidRPr="00AF015F" w:rsidRDefault="00AF015F" w:rsidP="00AF015F">
      <w:pPr>
        <w:pStyle w:val="a3"/>
        <w:ind w:left="0"/>
        <w:jc w:val="both"/>
        <w:rPr>
          <w:rFonts w:ascii="Times New Roman" w:hAnsi="Times New Roman" w:cs="Times New Roman"/>
          <w:sz w:val="24"/>
          <w:szCs w:val="24"/>
        </w:rPr>
      </w:pPr>
    </w:p>
    <w:p w:rsidR="00732720" w:rsidRPr="001216D8" w:rsidRDefault="00732720" w:rsidP="00732720">
      <w:pPr>
        <w:pStyle w:val="a3"/>
        <w:ind w:left="0"/>
        <w:jc w:val="center"/>
        <w:rPr>
          <w:rFonts w:ascii="Times New Roman" w:hAnsi="Times New Roman" w:cs="Times New Roman"/>
          <w:b/>
          <w:sz w:val="24"/>
          <w:szCs w:val="24"/>
        </w:rPr>
      </w:pPr>
      <w:r w:rsidRPr="001216D8">
        <w:rPr>
          <w:rFonts w:ascii="Times New Roman" w:hAnsi="Times New Roman" w:cs="Times New Roman"/>
          <w:b/>
          <w:sz w:val="24"/>
          <w:szCs w:val="24"/>
        </w:rPr>
        <w:t>II. PREZENTAREA PETIŢIILOR</w:t>
      </w:r>
    </w:p>
    <w:p w:rsidR="00732720" w:rsidRPr="001216D8" w:rsidRDefault="00732720" w:rsidP="00732720">
      <w:pPr>
        <w:pStyle w:val="a3"/>
        <w:ind w:left="0"/>
        <w:jc w:val="center"/>
        <w:rPr>
          <w:rFonts w:ascii="Times New Roman" w:hAnsi="Times New Roman" w:cs="Times New Roman"/>
          <w:b/>
          <w:sz w:val="24"/>
          <w:szCs w:val="24"/>
        </w:rPr>
      </w:pPr>
    </w:p>
    <w:p w:rsidR="00732720"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  Petiţiile pot fi prezentate personal, prin curier, ori expediate prin poştă la adresa participantului profesionist, pe adresa electronică a participantului profesionist sau prin fax şi urmează a fi înregistrate în mod </w:t>
      </w:r>
      <w:r w:rsidR="00732720" w:rsidRPr="001216D8">
        <w:rPr>
          <w:rFonts w:ascii="Times New Roman" w:hAnsi="Times New Roman" w:cs="Times New Roman"/>
          <w:sz w:val="24"/>
          <w:szCs w:val="24"/>
        </w:rPr>
        <w:t xml:space="preserve">obligatoriu de către acesta. </w:t>
      </w:r>
    </w:p>
    <w:p w:rsidR="00732720"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lastRenderedPageBreak/>
        <w:t>Petiţia se depune pe suport de hîrtie sau în formă electronică în limba de stat sau într-o altă limbă î</w:t>
      </w:r>
      <w:r w:rsidR="00732720" w:rsidRPr="001216D8">
        <w:rPr>
          <w:rFonts w:ascii="Times New Roman" w:hAnsi="Times New Roman" w:cs="Times New Roman"/>
          <w:sz w:val="24"/>
          <w:szCs w:val="24"/>
        </w:rPr>
        <w:t xml:space="preserve">n conformitate cu legislaţia. </w:t>
      </w:r>
      <w:r w:rsidRPr="001216D8">
        <w:rPr>
          <w:rFonts w:ascii="Times New Roman" w:hAnsi="Times New Roman" w:cs="Times New Roman"/>
          <w:sz w:val="24"/>
          <w:szCs w:val="24"/>
        </w:rPr>
        <w:t xml:space="preserve"> </w:t>
      </w:r>
    </w:p>
    <w:p w:rsidR="00732720"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Petiţiile trebuie să fie semnate de autor, i</w:t>
      </w:r>
      <w:r w:rsidR="00732720" w:rsidRPr="001216D8">
        <w:rPr>
          <w:rFonts w:ascii="Times New Roman" w:hAnsi="Times New Roman" w:cs="Times New Roman"/>
          <w:sz w:val="24"/>
          <w:szCs w:val="24"/>
        </w:rPr>
        <w:t>ndicîndu-se numele, prenumele,</w:t>
      </w:r>
      <w:r w:rsidRPr="001216D8">
        <w:rPr>
          <w:rFonts w:ascii="Times New Roman" w:hAnsi="Times New Roman" w:cs="Times New Roman"/>
          <w:sz w:val="24"/>
          <w:szCs w:val="24"/>
        </w:rPr>
        <w:t xml:space="preserve"> domiciliul şi alte date pentru i</w:t>
      </w:r>
      <w:r w:rsidR="00732720" w:rsidRPr="001216D8">
        <w:rPr>
          <w:rFonts w:ascii="Times New Roman" w:hAnsi="Times New Roman" w:cs="Times New Roman"/>
          <w:sz w:val="24"/>
          <w:szCs w:val="24"/>
        </w:rPr>
        <w:t xml:space="preserve">dentificarea petiţionarului.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Petiţia în formă electronică trebuie să corespundă cerinţelor faţă de documentul electronic, precum şi să conţină informaţii privind numele, prenumele, domiciliul şi adresa electronică a petiţionarului şi alte date de contact.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Petiţiile care nu corespund cerinţelor stabilite la pct.</w:t>
      </w:r>
      <w:r w:rsidR="005806D6">
        <w:rPr>
          <w:rFonts w:ascii="Times New Roman" w:hAnsi="Times New Roman" w:cs="Times New Roman"/>
          <w:sz w:val="24"/>
          <w:szCs w:val="24"/>
        </w:rPr>
        <w:t xml:space="preserve"> </w:t>
      </w:r>
      <w:r w:rsidRPr="001216D8">
        <w:rPr>
          <w:rFonts w:ascii="Times New Roman" w:hAnsi="Times New Roman" w:cs="Times New Roman"/>
          <w:sz w:val="24"/>
          <w:szCs w:val="24"/>
        </w:rPr>
        <w:t>8 şi pct.</w:t>
      </w:r>
      <w:r w:rsidR="005806D6">
        <w:rPr>
          <w:rFonts w:ascii="Times New Roman" w:hAnsi="Times New Roman" w:cs="Times New Roman"/>
          <w:sz w:val="24"/>
          <w:szCs w:val="24"/>
        </w:rPr>
        <w:t xml:space="preserve"> </w:t>
      </w:r>
      <w:r w:rsidRPr="001216D8">
        <w:rPr>
          <w:rFonts w:ascii="Times New Roman" w:hAnsi="Times New Roman" w:cs="Times New Roman"/>
          <w:sz w:val="24"/>
          <w:szCs w:val="24"/>
        </w:rPr>
        <w:t xml:space="preserve">9 se consideră anonime şi nu se examinează, cu excepţia petiţiilor ce conţin informaţii referitor la securitatea naţională sau ordinea publică, care se remit spre examinare organelor competente.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Petiţiile adresate repetat, care nu conţin argumente, date sau informaţii noi, nu se reexaminează, despre faptul dat urmînd a fi informat în scris sau în formă electronică petiţionarul.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 situaţia în care o persoană adresează în aceeaşi perioadă de timp mai multe petiţii cu acelaşi subiect, acestea se vor conexa, petiţionarul urmînd să </w:t>
      </w:r>
      <w:r w:rsidR="008B6C1D" w:rsidRPr="001216D8">
        <w:rPr>
          <w:rFonts w:ascii="Times New Roman" w:hAnsi="Times New Roman" w:cs="Times New Roman"/>
          <w:sz w:val="24"/>
          <w:szCs w:val="24"/>
        </w:rPr>
        <w:t xml:space="preserve">primească un singur răspuns.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Dacă după expedierea răspunsului parvine o nouă petiţie cu acelaşi conţinut sau care se referă la aceeaşi problemă, aceasta se ataşează la petiţia iniţială, făcîndu-se menţiune că s-a răspuns şi </w:t>
      </w:r>
      <w:r w:rsidR="008B6C1D" w:rsidRPr="001216D8">
        <w:rPr>
          <w:rFonts w:ascii="Times New Roman" w:hAnsi="Times New Roman" w:cs="Times New Roman"/>
          <w:sz w:val="24"/>
          <w:szCs w:val="24"/>
        </w:rPr>
        <w:t xml:space="preserve">se informează petiţionarul.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 cazul în care o petiţie este semnată de mai multe persoane fizice sau juridice, se va indica persoana căreia urmează să i se expedieze răspunsul. În absenţa acestei menţiuni, primul semnatar este considerat a fi petiţionarul căruia urmează să-i fie expediat răspunsul.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 cazul parvenirii unor petiţii, textul cărora nu poate fi descifrat sau care nu conţin date suficiente pentru examinarea lor, în termen de 3 zile lucrătoare petiţionarul va fi înştiinţat despre acest fapt, solicitîndu-i-se concretizarea problemelor abordate.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În cazul în care o petiţie este adresată greşit, ea va fi remisă înapoi petiţionarului în te</w:t>
      </w:r>
      <w:r w:rsidR="008B6C1D" w:rsidRPr="001216D8">
        <w:rPr>
          <w:rFonts w:ascii="Times New Roman" w:hAnsi="Times New Roman" w:cs="Times New Roman"/>
          <w:sz w:val="24"/>
          <w:szCs w:val="24"/>
        </w:rPr>
        <w:t>rmen de 3 zile lucrătoare.</w:t>
      </w:r>
    </w:p>
    <w:p w:rsidR="008B6C1D" w:rsidRPr="001216D8" w:rsidRDefault="008B6C1D" w:rsidP="008B6C1D">
      <w:pPr>
        <w:pStyle w:val="a3"/>
        <w:ind w:left="0"/>
        <w:jc w:val="center"/>
        <w:rPr>
          <w:rFonts w:ascii="Times New Roman" w:hAnsi="Times New Roman" w:cs="Times New Roman"/>
          <w:b/>
          <w:sz w:val="24"/>
          <w:szCs w:val="24"/>
        </w:rPr>
      </w:pPr>
      <w:r w:rsidRPr="001216D8">
        <w:rPr>
          <w:rFonts w:ascii="Times New Roman" w:hAnsi="Times New Roman" w:cs="Times New Roman"/>
          <w:b/>
          <w:sz w:val="24"/>
          <w:szCs w:val="24"/>
        </w:rPr>
        <w:t>III. ÎNREGISTRAREA PETIŢIILOR</w:t>
      </w:r>
    </w:p>
    <w:p w:rsidR="008B6C1D" w:rsidRPr="001216D8" w:rsidRDefault="008B6C1D" w:rsidP="008B6C1D">
      <w:pPr>
        <w:pStyle w:val="a3"/>
        <w:ind w:left="0"/>
        <w:jc w:val="center"/>
        <w:rPr>
          <w:rFonts w:ascii="Times New Roman" w:hAnsi="Times New Roman" w:cs="Times New Roman"/>
          <w:b/>
          <w:sz w:val="24"/>
          <w:szCs w:val="24"/>
        </w:rPr>
      </w:pP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Înregistrarea şi evidenţa petiţiilor se realizează prin intermediul angajatului desemnat de către conducătorul participantului profesionist.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La înregistrarea petiţiei, pe prima pagină a acesteia se aplică parafa de înregistrare, în care se indică data primirii şi numărul de înregistrare.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Înregistrarea petiţiilor, precum şi a răspunsurilor la acestea, se efectuează în registrele corespondenţei de intrare şi ieşire, ţinute în mod obligatoriu de către participantul profesionist.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Scrierea în registre se face astfel, încît să excludă posibilitatea de a fi radiată (ştearsă, distrusă) în mod mecanic, chimic sau în orice alt mod, fără a lăsa urme vizibile ale radierii (ştergerii, distrugerii).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Înscrierile în registre trebuie să fie vizibile şi clare. </w:t>
      </w:r>
    </w:p>
    <w:p w:rsidR="008B6C1D" w:rsidRPr="001216D8" w:rsidRDefault="006B7067" w:rsidP="00732720">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După înregistrarea petiţiilor conform cerinţelor stabilite, angajatul desemnat le înaintează conducătorului participantului profesionist.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lastRenderedPageBreak/>
        <w:t>Conducătorul participantului profesionist indică pe rezoluţie persoana responsabilă de soluţionarea petiţiei.</w:t>
      </w:r>
    </w:p>
    <w:p w:rsidR="008B6C1D" w:rsidRPr="001216D8" w:rsidRDefault="008B6C1D" w:rsidP="008B6C1D">
      <w:pPr>
        <w:pStyle w:val="a3"/>
        <w:ind w:left="0"/>
        <w:jc w:val="center"/>
        <w:rPr>
          <w:rFonts w:ascii="Times New Roman" w:hAnsi="Times New Roman" w:cs="Times New Roman"/>
          <w:b/>
          <w:sz w:val="24"/>
          <w:szCs w:val="24"/>
        </w:rPr>
      </w:pPr>
      <w:r w:rsidRPr="001216D8">
        <w:rPr>
          <w:rFonts w:ascii="Times New Roman" w:hAnsi="Times New Roman" w:cs="Times New Roman"/>
          <w:b/>
          <w:sz w:val="24"/>
          <w:szCs w:val="24"/>
        </w:rPr>
        <w:t>IV. EXAMINAREA PETIŢIILOR</w:t>
      </w:r>
    </w:p>
    <w:p w:rsidR="008B6C1D" w:rsidRPr="001216D8" w:rsidRDefault="008B6C1D" w:rsidP="008B6C1D">
      <w:pPr>
        <w:pStyle w:val="a3"/>
        <w:ind w:left="0"/>
        <w:jc w:val="center"/>
        <w:rPr>
          <w:rFonts w:ascii="Times New Roman" w:hAnsi="Times New Roman" w:cs="Times New Roman"/>
          <w:sz w:val="24"/>
          <w:szCs w:val="24"/>
        </w:rPr>
      </w:pP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Responsabil de soluţionarea petiţiei este persoana nominalizată prima în rezoluţie.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Lipsa persoanei responsabile (concediu medical, concediu social, concediu anual, deplasare etc.) nu scuteşte participantul profesionist de examinarea în termen şi adecvată a petiţiilor.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 cazul în care prin petiţie sînt sesizate anumite aspecte din activitatea unui angajat al participantului profesionist, aceasta nu poate fi examinată de persoana în cauză sau de către un subordonat al acesteia.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Pentru soluţionarea legală a petiţiilor ce le sînt adresate, conducătorii participanţilor profesionişti vor dispune măsuri de cercetare şi analiză detaliată a tuturor aspectelor sesizate.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 răspuns se va indica, în mod obligatoriu, temeiul legal al soluţiei adoptate. </w:t>
      </w:r>
    </w:p>
    <w:p w:rsidR="008B6C1D" w:rsidRPr="00C860A8" w:rsidRDefault="006B7067" w:rsidP="008B6C1D">
      <w:pPr>
        <w:pStyle w:val="a3"/>
        <w:numPr>
          <w:ilvl w:val="0"/>
          <w:numId w:val="1"/>
        </w:numPr>
        <w:ind w:left="0" w:firstLine="0"/>
        <w:jc w:val="both"/>
        <w:rPr>
          <w:rFonts w:ascii="Times New Roman" w:hAnsi="Times New Roman" w:cs="Times New Roman"/>
          <w:b/>
          <w:sz w:val="24"/>
          <w:szCs w:val="24"/>
        </w:rPr>
      </w:pPr>
      <w:r w:rsidRPr="00C860A8">
        <w:rPr>
          <w:rFonts w:ascii="Times New Roman" w:hAnsi="Times New Roman" w:cs="Times New Roman"/>
          <w:b/>
          <w:sz w:val="24"/>
          <w:szCs w:val="24"/>
        </w:rPr>
        <w:t xml:space="preserve">Petiţiile se </w:t>
      </w:r>
      <w:r w:rsidR="00F2790D" w:rsidRPr="00C860A8">
        <w:rPr>
          <w:rFonts w:ascii="Times New Roman" w:hAnsi="Times New Roman" w:cs="Times New Roman"/>
          <w:b/>
          <w:sz w:val="24"/>
          <w:szCs w:val="24"/>
        </w:rPr>
        <w:t>examinează în termen maxim de 14</w:t>
      </w:r>
      <w:r w:rsidRPr="00C860A8">
        <w:rPr>
          <w:rFonts w:ascii="Times New Roman" w:hAnsi="Times New Roman" w:cs="Times New Roman"/>
          <w:b/>
          <w:sz w:val="24"/>
          <w:szCs w:val="24"/>
        </w:rPr>
        <w:t xml:space="preserve"> de zile, iar cele care nu necesită o studiere şi examinare suplimentară – făr</w:t>
      </w:r>
      <w:r w:rsidR="00A53C58" w:rsidRPr="00C860A8">
        <w:rPr>
          <w:rFonts w:ascii="Times New Roman" w:hAnsi="Times New Roman" w:cs="Times New Roman"/>
          <w:b/>
          <w:sz w:val="24"/>
          <w:szCs w:val="24"/>
        </w:rPr>
        <w:t>ă întîrziere sau în termen de 7</w:t>
      </w:r>
      <w:r w:rsidRPr="00C860A8">
        <w:rPr>
          <w:rFonts w:ascii="Times New Roman" w:hAnsi="Times New Roman" w:cs="Times New Roman"/>
          <w:b/>
          <w:sz w:val="24"/>
          <w:szCs w:val="24"/>
        </w:rPr>
        <w:t xml:space="preserve"> zile de la data înregistrării.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Termenul de examinare a petiţiei curge din momentul înregistrării acesteia de către participantul profesionist.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Petiţiile remise de Comisia Naţională a Pieţei Financiare se exa</w:t>
      </w:r>
      <w:r w:rsidR="00C860A8">
        <w:rPr>
          <w:rFonts w:ascii="Times New Roman" w:hAnsi="Times New Roman" w:cs="Times New Roman"/>
          <w:sz w:val="24"/>
          <w:szCs w:val="24"/>
        </w:rPr>
        <w:t>minează în termen de cel mult 7</w:t>
      </w:r>
      <w:r w:rsidRPr="001216D8">
        <w:rPr>
          <w:rFonts w:ascii="Times New Roman" w:hAnsi="Times New Roman" w:cs="Times New Roman"/>
          <w:sz w:val="24"/>
          <w:szCs w:val="24"/>
        </w:rPr>
        <w:t xml:space="preserve"> zile din momentul recepţionării acestora, iar în cazul în care se va indica un alt termen acesta urmează să fie respectat.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 cazuri deosebite termenul de examinare poate fi prelungit de către conducătorul participantului profesionist cu cel mult o lună, fapt despre care este informat petiţionarul.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Petiţiile, prin care se solicită o informaţie confidenţială, se examinează în termenele stabilite în legislaţia privind accesul la informaţie.</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Răspunsul la petiţie se perfectează în 2 exemplare originale şi se prezintă pentru semnare conducătorului participantului profesionist într-un termen care ar asigura posibilitatea verificării lui şi introducerii unor modificări sau completări.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Răspunsurile se semnează de către conducătorul participantului profesionist ori de persoana împuternicită de acesta.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Rezultatul examinării se aduce obligatoriu la cunoştinţa petiţionarului pe suport de hîrtie, iar la solicitarea acestuia – în formă electronică sau verbală, cu consemnările corespunzătoare în Registrul de evidenţă a corespondenţei de ieşire. </w:t>
      </w:r>
    </w:p>
    <w:p w:rsidR="008B6C1D"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Dovada recepţionării răspunsului de către petiţionar se pune în sarcina </w:t>
      </w:r>
      <w:r w:rsidR="008B6C1D" w:rsidRPr="001216D8">
        <w:rPr>
          <w:rFonts w:ascii="Times New Roman" w:hAnsi="Times New Roman" w:cs="Times New Roman"/>
          <w:sz w:val="24"/>
          <w:szCs w:val="24"/>
        </w:rPr>
        <w:t xml:space="preserve">organizației de creditare nebancară </w:t>
      </w:r>
      <w:r w:rsidRPr="001216D8">
        <w:rPr>
          <w:rFonts w:ascii="Times New Roman" w:hAnsi="Times New Roman" w:cs="Times New Roman"/>
          <w:sz w:val="24"/>
          <w:szCs w:val="24"/>
        </w:rPr>
        <w:t>(semnătura petiţionarului, avizul de recepţie a scrisorii sau alte mijloace ce con</w:t>
      </w:r>
      <w:r w:rsidR="008B6C1D" w:rsidRPr="001216D8">
        <w:rPr>
          <w:rFonts w:ascii="Times New Roman" w:hAnsi="Times New Roman" w:cs="Times New Roman"/>
          <w:sz w:val="24"/>
          <w:szCs w:val="24"/>
        </w:rPr>
        <w:t xml:space="preserve">firmă primirea răspunsului). </w:t>
      </w:r>
    </w:p>
    <w:p w:rsidR="001216D8"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În cazul în care petiţionarul nu este de acord cu răspunsul parvenit din partea participantului profesionist sau a primit refuz neîntemeiat de a examina petiţia, sau se tergiversează examinarea acesteia, el este în drept să se adreseze Comisiei Naţionale a Pieţei Financiare şi/sau instanţei de judecată. </w:t>
      </w:r>
    </w:p>
    <w:p w:rsidR="001216D8" w:rsidRPr="001216D8" w:rsidRDefault="006B7067" w:rsidP="001216D8">
      <w:pPr>
        <w:pStyle w:val="a3"/>
        <w:ind w:left="0"/>
        <w:jc w:val="center"/>
        <w:rPr>
          <w:rFonts w:ascii="Times New Roman" w:hAnsi="Times New Roman" w:cs="Times New Roman"/>
          <w:b/>
          <w:sz w:val="24"/>
          <w:szCs w:val="24"/>
        </w:rPr>
      </w:pPr>
      <w:r w:rsidRPr="001216D8">
        <w:rPr>
          <w:rFonts w:ascii="Times New Roman" w:hAnsi="Times New Roman" w:cs="Times New Roman"/>
          <w:b/>
          <w:sz w:val="24"/>
          <w:szCs w:val="24"/>
        </w:rPr>
        <w:lastRenderedPageBreak/>
        <w:t>V. SUPRAVE</w:t>
      </w:r>
      <w:bookmarkStart w:id="0" w:name="_GoBack"/>
      <w:bookmarkEnd w:id="0"/>
      <w:r w:rsidRPr="001216D8">
        <w:rPr>
          <w:rFonts w:ascii="Times New Roman" w:hAnsi="Times New Roman" w:cs="Times New Roman"/>
          <w:b/>
          <w:sz w:val="24"/>
          <w:szCs w:val="24"/>
        </w:rPr>
        <w:t>GHEREA ŞI RĂSPUNDEREA ÎN CADRUL EXAMINĂRII PETIŢIILOR</w:t>
      </w:r>
    </w:p>
    <w:p w:rsidR="001216D8" w:rsidRPr="001216D8" w:rsidRDefault="001216D8" w:rsidP="001216D8">
      <w:pPr>
        <w:pStyle w:val="a3"/>
        <w:ind w:left="0"/>
        <w:jc w:val="center"/>
        <w:rPr>
          <w:rFonts w:ascii="Times New Roman" w:hAnsi="Times New Roman" w:cs="Times New Roman"/>
          <w:b/>
          <w:sz w:val="24"/>
          <w:szCs w:val="24"/>
        </w:rPr>
      </w:pPr>
    </w:p>
    <w:p w:rsidR="001216D8"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Petiţiile, răspunsurile la acestea şi documentele cu privire la examinarea petiţiilor se păstrează în dosare separate. </w:t>
      </w:r>
    </w:p>
    <w:p w:rsidR="001216D8"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Conducătorul participantului profesionist, precum şi angajaţii acestuia, </w:t>
      </w:r>
      <w:r w:rsidR="001216D8" w:rsidRPr="001216D8">
        <w:rPr>
          <w:rFonts w:ascii="Times New Roman" w:hAnsi="Times New Roman" w:cs="Times New Roman"/>
          <w:sz w:val="24"/>
          <w:szCs w:val="24"/>
        </w:rPr>
        <w:t xml:space="preserve">vor </w:t>
      </w:r>
      <w:r w:rsidRPr="001216D8">
        <w:rPr>
          <w:rFonts w:ascii="Times New Roman" w:hAnsi="Times New Roman" w:cs="Times New Roman"/>
          <w:sz w:val="24"/>
          <w:szCs w:val="24"/>
        </w:rPr>
        <w:t>asigur</w:t>
      </w:r>
      <w:r w:rsidR="001216D8" w:rsidRPr="001216D8">
        <w:rPr>
          <w:rFonts w:ascii="Times New Roman" w:hAnsi="Times New Roman" w:cs="Times New Roman"/>
          <w:sz w:val="24"/>
          <w:szCs w:val="24"/>
        </w:rPr>
        <w:t>a</w:t>
      </w:r>
      <w:r w:rsidRPr="001216D8">
        <w:rPr>
          <w:rFonts w:ascii="Times New Roman" w:hAnsi="Times New Roman" w:cs="Times New Roman"/>
          <w:sz w:val="24"/>
          <w:szCs w:val="24"/>
        </w:rPr>
        <w:t xml:space="preserve"> integritatea documentelor cu privir</w:t>
      </w:r>
      <w:r w:rsidR="001216D8" w:rsidRPr="001216D8">
        <w:rPr>
          <w:rFonts w:ascii="Times New Roman" w:hAnsi="Times New Roman" w:cs="Times New Roman"/>
          <w:sz w:val="24"/>
          <w:szCs w:val="24"/>
        </w:rPr>
        <w:t xml:space="preserve">e la examinarea petiţiilor. </w:t>
      </w:r>
    </w:p>
    <w:p w:rsidR="001216D8"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Dosarele cu materialele examinării petiţiilor se păstrează în birourile de serviciu sau în încăperi amenajate special pentru arhivă, dotate cu mijloace adecvate de păstrare, pentru a preveni degradarea, distrugerea sa</w:t>
      </w:r>
      <w:r w:rsidR="001216D8" w:rsidRPr="001216D8">
        <w:rPr>
          <w:rFonts w:ascii="Times New Roman" w:hAnsi="Times New Roman" w:cs="Times New Roman"/>
          <w:sz w:val="24"/>
          <w:szCs w:val="24"/>
        </w:rPr>
        <w:t xml:space="preserve">u sustragerea documentelor. </w:t>
      </w:r>
    </w:p>
    <w:p w:rsidR="001216D8"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 xml:space="preserve">Conducătorul participantului profesionist </w:t>
      </w:r>
      <w:r w:rsidR="001216D8" w:rsidRPr="001216D8">
        <w:rPr>
          <w:rFonts w:ascii="Times New Roman" w:hAnsi="Times New Roman" w:cs="Times New Roman"/>
          <w:sz w:val="24"/>
          <w:szCs w:val="24"/>
        </w:rPr>
        <w:t>va</w:t>
      </w:r>
      <w:r w:rsidRPr="001216D8">
        <w:rPr>
          <w:rFonts w:ascii="Times New Roman" w:hAnsi="Times New Roman" w:cs="Times New Roman"/>
          <w:sz w:val="24"/>
          <w:szCs w:val="24"/>
        </w:rPr>
        <w:t xml:space="preserve"> evalu</w:t>
      </w:r>
      <w:r w:rsidR="001216D8" w:rsidRPr="001216D8">
        <w:rPr>
          <w:rFonts w:ascii="Times New Roman" w:hAnsi="Times New Roman" w:cs="Times New Roman"/>
          <w:sz w:val="24"/>
          <w:szCs w:val="24"/>
        </w:rPr>
        <w:t>a</w:t>
      </w:r>
      <w:r w:rsidRPr="001216D8">
        <w:rPr>
          <w:rFonts w:ascii="Times New Roman" w:hAnsi="Times New Roman" w:cs="Times New Roman"/>
          <w:sz w:val="24"/>
          <w:szCs w:val="24"/>
        </w:rPr>
        <w:t xml:space="preserve"> semestrial activitatea de soluţionare a petiţiilor şi </w:t>
      </w:r>
      <w:r w:rsidR="001216D8" w:rsidRPr="001216D8">
        <w:rPr>
          <w:rFonts w:ascii="Times New Roman" w:hAnsi="Times New Roman" w:cs="Times New Roman"/>
          <w:sz w:val="24"/>
          <w:szCs w:val="24"/>
        </w:rPr>
        <w:t>va putea să înainteze prescripții</w:t>
      </w:r>
      <w:r w:rsidRPr="001216D8">
        <w:rPr>
          <w:rFonts w:ascii="Times New Roman" w:hAnsi="Times New Roman" w:cs="Times New Roman"/>
          <w:sz w:val="24"/>
          <w:szCs w:val="24"/>
        </w:rPr>
        <w:t xml:space="preserve"> corespunzătoare în cazul depistării unor nereguli, precum şi să întreprindă măsuri în vederea înlăturării cauzelor şi condiţiilor care g</w:t>
      </w:r>
      <w:r w:rsidR="001216D8" w:rsidRPr="001216D8">
        <w:rPr>
          <w:rFonts w:ascii="Times New Roman" w:hAnsi="Times New Roman" w:cs="Times New Roman"/>
          <w:sz w:val="24"/>
          <w:szCs w:val="24"/>
        </w:rPr>
        <w:t xml:space="preserve">enerează petiţii întemeiate. </w:t>
      </w:r>
    </w:p>
    <w:p w:rsidR="001216D8"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Conducătorul participantului profesionist este direct responsabil de buna organizare şi desfăşurare a activităţii de primire, examinare şi rezolvare a petiţiilor, precum şi de legalitatea soluţiilor şi comunicare</w:t>
      </w:r>
      <w:r w:rsidR="001216D8" w:rsidRPr="001216D8">
        <w:rPr>
          <w:rFonts w:ascii="Times New Roman" w:hAnsi="Times New Roman" w:cs="Times New Roman"/>
          <w:sz w:val="24"/>
          <w:szCs w:val="24"/>
        </w:rPr>
        <w:t xml:space="preserve">a acestora în termen optim. </w:t>
      </w:r>
    </w:p>
    <w:p w:rsidR="00274FBE" w:rsidRPr="001216D8" w:rsidRDefault="006B7067" w:rsidP="008B6C1D">
      <w:pPr>
        <w:pStyle w:val="a3"/>
        <w:numPr>
          <w:ilvl w:val="0"/>
          <w:numId w:val="1"/>
        </w:numPr>
        <w:ind w:left="0" w:firstLine="0"/>
        <w:jc w:val="both"/>
        <w:rPr>
          <w:rFonts w:ascii="Times New Roman" w:hAnsi="Times New Roman" w:cs="Times New Roman"/>
          <w:sz w:val="24"/>
          <w:szCs w:val="24"/>
        </w:rPr>
      </w:pPr>
      <w:r w:rsidRPr="001216D8">
        <w:rPr>
          <w:rFonts w:ascii="Times New Roman" w:hAnsi="Times New Roman" w:cs="Times New Roman"/>
          <w:sz w:val="24"/>
          <w:szCs w:val="24"/>
        </w:rPr>
        <w:t>Situaţiile apărute în legătură cu organizarea şi desfăşurarea activităţilor în cadrul examinării petiţiilor de către participantul profesionist, neprevăzute de prezentul Regulament, vor fi soluţionate/reglementate în conformitate cu legislaţia în vigoare.</w:t>
      </w:r>
    </w:p>
    <w:sectPr w:rsidR="00274FBE" w:rsidRPr="001216D8" w:rsidSect="003F7804">
      <w:footerReference w:type="default" r:id="rId7"/>
      <w:pgSz w:w="12240" w:h="15840"/>
      <w:pgMar w:top="1584" w:right="116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FB4" w:rsidRDefault="00A23FB4" w:rsidP="001216D8">
      <w:pPr>
        <w:spacing w:after="0" w:line="240" w:lineRule="auto"/>
      </w:pPr>
      <w:r>
        <w:separator/>
      </w:r>
    </w:p>
  </w:endnote>
  <w:endnote w:type="continuationSeparator" w:id="0">
    <w:p w:rsidR="00A23FB4" w:rsidRDefault="00A23FB4" w:rsidP="0012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284"/>
      <w:docPartObj>
        <w:docPartGallery w:val="Page Numbers (Bottom of Page)"/>
        <w:docPartUnique/>
      </w:docPartObj>
    </w:sdtPr>
    <w:sdtEndPr/>
    <w:sdtContent>
      <w:p w:rsidR="001216D8" w:rsidRDefault="00500493">
        <w:pPr>
          <w:pStyle w:val="a6"/>
          <w:jc w:val="right"/>
        </w:pPr>
        <w:r>
          <w:fldChar w:fldCharType="begin"/>
        </w:r>
        <w:r>
          <w:instrText xml:space="preserve"> PAGE   \* MERGEFORMAT </w:instrText>
        </w:r>
        <w:r>
          <w:fldChar w:fldCharType="separate"/>
        </w:r>
        <w:r w:rsidR="00FD331C">
          <w:rPr>
            <w:noProof/>
          </w:rPr>
          <w:t>2</w:t>
        </w:r>
        <w:r>
          <w:rPr>
            <w:noProof/>
          </w:rPr>
          <w:fldChar w:fldCharType="end"/>
        </w:r>
      </w:p>
    </w:sdtContent>
  </w:sdt>
  <w:p w:rsidR="001216D8" w:rsidRDefault="001216D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FB4" w:rsidRDefault="00A23FB4" w:rsidP="001216D8">
      <w:pPr>
        <w:spacing w:after="0" w:line="240" w:lineRule="auto"/>
      </w:pPr>
      <w:r>
        <w:separator/>
      </w:r>
    </w:p>
  </w:footnote>
  <w:footnote w:type="continuationSeparator" w:id="0">
    <w:p w:rsidR="00A23FB4" w:rsidRDefault="00A23FB4" w:rsidP="00121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33EE5FC5"/>
    <w:multiLevelType w:val="hybridMultilevel"/>
    <w:tmpl w:val="B554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760FD"/>
    <w:multiLevelType w:val="hybridMultilevel"/>
    <w:tmpl w:val="95348C02"/>
    <w:lvl w:ilvl="0" w:tplc="C3228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B7B38"/>
    <w:multiLevelType w:val="hybridMultilevel"/>
    <w:tmpl w:val="ECAE7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B7067"/>
    <w:rsid w:val="000D41CB"/>
    <w:rsid w:val="001216D8"/>
    <w:rsid w:val="001A38CC"/>
    <w:rsid w:val="0020189B"/>
    <w:rsid w:val="002621F8"/>
    <w:rsid w:val="00274FBE"/>
    <w:rsid w:val="0036100A"/>
    <w:rsid w:val="003B2E01"/>
    <w:rsid w:val="003F7804"/>
    <w:rsid w:val="00415F6A"/>
    <w:rsid w:val="00500493"/>
    <w:rsid w:val="005710E5"/>
    <w:rsid w:val="0057740A"/>
    <w:rsid w:val="005806D6"/>
    <w:rsid w:val="005E7B47"/>
    <w:rsid w:val="006B7067"/>
    <w:rsid w:val="006D1052"/>
    <w:rsid w:val="00732720"/>
    <w:rsid w:val="00745588"/>
    <w:rsid w:val="007C60BD"/>
    <w:rsid w:val="008B6C1D"/>
    <w:rsid w:val="00927CE3"/>
    <w:rsid w:val="00A23FB4"/>
    <w:rsid w:val="00A53C58"/>
    <w:rsid w:val="00AF015F"/>
    <w:rsid w:val="00C860A8"/>
    <w:rsid w:val="00CE0434"/>
    <w:rsid w:val="00D01B1A"/>
    <w:rsid w:val="00D17E68"/>
    <w:rsid w:val="00DB52D9"/>
    <w:rsid w:val="00E67819"/>
    <w:rsid w:val="00E87375"/>
    <w:rsid w:val="00F2790D"/>
    <w:rsid w:val="00FD331C"/>
    <w:rsid w:val="00FD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E1F5"/>
  <w15:docId w15:val="{09D51A29-8D24-44FC-98D0-DC0E4E6F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FBE"/>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067"/>
    <w:pPr>
      <w:ind w:left="720"/>
      <w:contextualSpacing/>
    </w:pPr>
  </w:style>
  <w:style w:type="paragraph" w:styleId="a4">
    <w:name w:val="header"/>
    <w:basedOn w:val="a"/>
    <w:link w:val="a5"/>
    <w:uiPriority w:val="99"/>
    <w:semiHidden/>
    <w:unhideWhenUsed/>
    <w:rsid w:val="001216D8"/>
    <w:pPr>
      <w:tabs>
        <w:tab w:val="center" w:pos="4844"/>
        <w:tab w:val="right" w:pos="9689"/>
      </w:tabs>
      <w:spacing w:after="0" w:line="240" w:lineRule="auto"/>
    </w:pPr>
  </w:style>
  <w:style w:type="character" w:customStyle="1" w:styleId="a5">
    <w:name w:val="Верхний колонтитул Знак"/>
    <w:basedOn w:val="a0"/>
    <w:link w:val="a4"/>
    <w:uiPriority w:val="99"/>
    <w:semiHidden/>
    <w:rsid w:val="001216D8"/>
    <w:rPr>
      <w:lang w:val="ro-RO"/>
    </w:rPr>
  </w:style>
  <w:style w:type="paragraph" w:styleId="a6">
    <w:name w:val="footer"/>
    <w:basedOn w:val="a"/>
    <w:link w:val="a7"/>
    <w:uiPriority w:val="99"/>
    <w:unhideWhenUsed/>
    <w:rsid w:val="001216D8"/>
    <w:pPr>
      <w:tabs>
        <w:tab w:val="center" w:pos="4844"/>
        <w:tab w:val="right" w:pos="9689"/>
      </w:tabs>
      <w:spacing w:after="0" w:line="240" w:lineRule="auto"/>
    </w:pPr>
  </w:style>
  <w:style w:type="character" w:customStyle="1" w:styleId="a7">
    <w:name w:val="Нижний колонтитул Знак"/>
    <w:basedOn w:val="a0"/>
    <w:link w:val="a6"/>
    <w:uiPriority w:val="99"/>
    <w:rsid w:val="001216D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1528</Words>
  <Characters>8711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Toshia</dc:creator>
  <cp:lastModifiedBy>Пользователь</cp:lastModifiedBy>
  <cp:revision>24</cp:revision>
  <dcterms:created xsi:type="dcterms:W3CDTF">2018-10-22T09:57:00Z</dcterms:created>
  <dcterms:modified xsi:type="dcterms:W3CDTF">2021-08-24T08:46:00Z</dcterms:modified>
</cp:coreProperties>
</file>